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598F2" w14:textId="77777777" w:rsidR="002D055E" w:rsidRPr="00860B85" w:rsidRDefault="002D055E" w:rsidP="00226413">
      <w:pPr>
        <w:pStyle w:val="Note"/>
        <w:pBdr>
          <w:bottom w:val="none" w:sz="0" w:space="0" w:color="auto"/>
        </w:pBdr>
        <w:rPr>
          <w:rFonts w:cs="Arial"/>
          <w:sz w:val="20"/>
        </w:rPr>
      </w:pPr>
      <w:bookmarkStart w:id="0" w:name="_Toc307906718"/>
    </w:p>
    <w:tbl>
      <w:tblPr>
        <w:tblW w:w="0" w:type="auto"/>
        <w:jc w:val="center"/>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20"/>
        <w:gridCol w:w="5876"/>
      </w:tblGrid>
      <w:tr w:rsidR="00860B85" w:rsidRPr="00120AAF" w14:paraId="030405EC" w14:textId="77777777" w:rsidTr="00860B85">
        <w:trPr>
          <w:cantSplit/>
          <w:trHeight w:val="358"/>
          <w:jc w:val="center"/>
        </w:trPr>
        <w:tc>
          <w:tcPr>
            <w:tcW w:w="2920" w:type="dxa"/>
            <w:tcBorders>
              <w:top w:val="single" w:sz="4" w:space="0" w:color="auto"/>
              <w:bottom w:val="single" w:sz="4" w:space="0" w:color="auto"/>
            </w:tcBorders>
            <w:shd w:val="clear" w:color="auto" w:fill="auto"/>
          </w:tcPr>
          <w:p w14:paraId="1C79668A" w14:textId="77777777" w:rsidR="002D055E" w:rsidRPr="00860B85" w:rsidRDefault="002D055E" w:rsidP="00226413">
            <w:pPr>
              <w:spacing w:before="60" w:after="60" w:line="276" w:lineRule="auto"/>
              <w:rPr>
                <w:rFonts w:ascii="Arial" w:hAnsi="Arial" w:cs="Arial"/>
                <w:b/>
                <w:sz w:val="20"/>
              </w:rPr>
            </w:pPr>
            <w:r w:rsidRPr="00860B85">
              <w:rPr>
                <w:rFonts w:ascii="Arial" w:hAnsi="Arial" w:cs="Arial"/>
                <w:b/>
                <w:sz w:val="20"/>
              </w:rPr>
              <w:t>Standing Order Title</w:t>
            </w:r>
          </w:p>
        </w:tc>
        <w:tc>
          <w:tcPr>
            <w:tcW w:w="5876" w:type="dxa"/>
            <w:tcBorders>
              <w:top w:val="single" w:sz="4" w:space="0" w:color="auto"/>
              <w:bottom w:val="single" w:sz="4" w:space="0" w:color="auto"/>
            </w:tcBorders>
            <w:shd w:val="clear" w:color="auto" w:fill="auto"/>
          </w:tcPr>
          <w:p w14:paraId="785F81D0" w14:textId="77777777" w:rsidR="002D055E" w:rsidRPr="00DB17D7" w:rsidRDefault="002D055E" w:rsidP="00226413">
            <w:pPr>
              <w:spacing w:before="60" w:after="60" w:line="276" w:lineRule="auto"/>
              <w:rPr>
                <w:rFonts w:ascii="Arial" w:hAnsi="Arial" w:cs="Arial"/>
                <w:b/>
                <w:sz w:val="20"/>
              </w:rPr>
            </w:pPr>
            <w:r w:rsidRPr="00DB17D7">
              <w:rPr>
                <w:rFonts w:ascii="Arial" w:hAnsi="Arial" w:cs="Arial"/>
                <w:b/>
                <w:sz w:val="20"/>
              </w:rPr>
              <w:t>SLSNZ Standing Order for Analgesia</w:t>
            </w:r>
          </w:p>
        </w:tc>
      </w:tr>
      <w:tr w:rsidR="00860B85" w:rsidRPr="00120AAF" w14:paraId="6699209D" w14:textId="77777777" w:rsidTr="00860B85">
        <w:trPr>
          <w:cantSplit/>
          <w:trHeight w:val="1351"/>
          <w:jc w:val="center"/>
        </w:trPr>
        <w:tc>
          <w:tcPr>
            <w:tcW w:w="2920" w:type="dxa"/>
            <w:tcBorders>
              <w:top w:val="single" w:sz="4" w:space="0" w:color="auto"/>
              <w:bottom w:val="single" w:sz="4" w:space="0" w:color="auto"/>
            </w:tcBorders>
            <w:shd w:val="clear" w:color="auto" w:fill="auto"/>
          </w:tcPr>
          <w:p w14:paraId="4C63DDDD" w14:textId="77777777" w:rsidR="002D055E" w:rsidRPr="00860B85" w:rsidRDefault="002D055E" w:rsidP="00226413">
            <w:pPr>
              <w:spacing w:before="60" w:after="60" w:line="276" w:lineRule="auto"/>
              <w:rPr>
                <w:rFonts w:ascii="Arial" w:hAnsi="Arial" w:cs="Arial"/>
                <w:b/>
                <w:sz w:val="20"/>
              </w:rPr>
            </w:pPr>
            <w:r w:rsidRPr="00860B85">
              <w:rPr>
                <w:rFonts w:ascii="Arial" w:hAnsi="Arial" w:cs="Arial"/>
                <w:b/>
                <w:sz w:val="20"/>
              </w:rPr>
              <w:t>Purpose</w:t>
            </w:r>
          </w:p>
        </w:tc>
        <w:tc>
          <w:tcPr>
            <w:tcW w:w="5876" w:type="dxa"/>
            <w:tcBorders>
              <w:top w:val="single" w:sz="4" w:space="0" w:color="auto"/>
              <w:bottom w:val="single" w:sz="4" w:space="0" w:color="auto"/>
            </w:tcBorders>
            <w:shd w:val="clear" w:color="auto" w:fill="auto"/>
          </w:tcPr>
          <w:p w14:paraId="2E434ACB" w14:textId="77777777" w:rsidR="002D055E" w:rsidRPr="00120AAF" w:rsidRDefault="002D055E" w:rsidP="00226413">
            <w:pPr>
              <w:spacing w:before="60" w:after="60" w:line="276" w:lineRule="auto"/>
              <w:rPr>
                <w:rFonts w:ascii="Arial" w:hAnsi="Arial" w:cs="Arial"/>
                <w:b/>
                <w:sz w:val="20"/>
              </w:rPr>
            </w:pPr>
            <w:r w:rsidRPr="00DB17D7">
              <w:rPr>
                <w:rFonts w:ascii="Arial" w:hAnsi="Arial" w:cs="Arial"/>
                <w:sz w:val="20"/>
              </w:rPr>
              <w:t>Pain relief for the conscious patient on a beach. This standing order covers the provision of analgesia to conscious patients by surf lifeguards with the relevant training and qualifications to recognize when the use of such medications will bring benefit</w:t>
            </w:r>
            <w:r w:rsidRPr="000A5DB2">
              <w:rPr>
                <w:rFonts w:ascii="Arial" w:hAnsi="Arial" w:cs="Arial"/>
                <w:sz w:val="20"/>
              </w:rPr>
              <w:t xml:space="preserve"> to the patient, and cause no harm.</w:t>
            </w:r>
          </w:p>
        </w:tc>
      </w:tr>
      <w:tr w:rsidR="00860B85" w:rsidRPr="00120AAF" w14:paraId="74010EAB" w14:textId="77777777" w:rsidTr="00860B85">
        <w:trPr>
          <w:cantSplit/>
          <w:trHeight w:val="1562"/>
          <w:jc w:val="center"/>
        </w:trPr>
        <w:tc>
          <w:tcPr>
            <w:tcW w:w="2920" w:type="dxa"/>
            <w:tcBorders>
              <w:top w:val="single" w:sz="4" w:space="0" w:color="auto"/>
              <w:bottom w:val="single" w:sz="4" w:space="0" w:color="auto"/>
            </w:tcBorders>
            <w:shd w:val="clear" w:color="auto" w:fill="auto"/>
          </w:tcPr>
          <w:p w14:paraId="1B852332" w14:textId="77777777" w:rsidR="002D055E" w:rsidRPr="00860B85" w:rsidRDefault="002D055E" w:rsidP="00226413">
            <w:pPr>
              <w:spacing w:before="60" w:after="60" w:line="276" w:lineRule="auto"/>
              <w:rPr>
                <w:rFonts w:ascii="Arial" w:hAnsi="Arial" w:cs="Arial"/>
                <w:b/>
                <w:sz w:val="20"/>
              </w:rPr>
            </w:pPr>
            <w:r w:rsidRPr="00860B85">
              <w:rPr>
                <w:rFonts w:ascii="Arial" w:hAnsi="Arial" w:cs="Arial"/>
                <w:b/>
                <w:sz w:val="20"/>
              </w:rPr>
              <w:t>Rationale</w:t>
            </w:r>
          </w:p>
        </w:tc>
        <w:tc>
          <w:tcPr>
            <w:tcW w:w="5876" w:type="dxa"/>
            <w:tcBorders>
              <w:top w:val="single" w:sz="4" w:space="0" w:color="auto"/>
              <w:bottom w:val="single" w:sz="4" w:space="0" w:color="auto"/>
            </w:tcBorders>
            <w:shd w:val="clear" w:color="auto" w:fill="auto"/>
          </w:tcPr>
          <w:p w14:paraId="5DA3E7D0" w14:textId="77777777" w:rsidR="002D055E" w:rsidRPr="00DB17D7" w:rsidRDefault="002D055E" w:rsidP="00226413">
            <w:pPr>
              <w:spacing w:before="60" w:after="60" w:line="276" w:lineRule="auto"/>
              <w:rPr>
                <w:rFonts w:ascii="Arial" w:hAnsi="Arial" w:cs="Arial"/>
              </w:rPr>
            </w:pPr>
            <w:r w:rsidRPr="00DB17D7">
              <w:rPr>
                <w:rFonts w:ascii="Arial" w:hAnsi="Arial" w:cs="Arial"/>
                <w:sz w:val="20"/>
              </w:rPr>
              <w:t>Often surf lifeguards are in isolated locations, where support from paramedics, doctors and medical clinics are not immediately available, and the patient must endure significant delays to be transported to further care. In these situations, lifeguards can alleviate some suffering and distress for the patient by providing analgesia.</w:t>
            </w:r>
          </w:p>
        </w:tc>
      </w:tr>
      <w:tr w:rsidR="00860B85" w:rsidRPr="00120AAF" w14:paraId="035BB746" w14:textId="77777777" w:rsidTr="00860B85">
        <w:trPr>
          <w:cantSplit/>
          <w:trHeight w:val="465"/>
          <w:jc w:val="center"/>
        </w:trPr>
        <w:tc>
          <w:tcPr>
            <w:tcW w:w="2920" w:type="dxa"/>
            <w:tcBorders>
              <w:top w:val="single" w:sz="4" w:space="0" w:color="auto"/>
              <w:bottom w:val="single" w:sz="4" w:space="0" w:color="auto"/>
            </w:tcBorders>
            <w:shd w:val="clear" w:color="auto" w:fill="auto"/>
          </w:tcPr>
          <w:p w14:paraId="679CBCD7" w14:textId="77777777" w:rsidR="002D055E" w:rsidRPr="00860B85" w:rsidRDefault="002D055E" w:rsidP="00226413">
            <w:pPr>
              <w:spacing w:before="60" w:after="60" w:line="276" w:lineRule="auto"/>
              <w:rPr>
                <w:rFonts w:ascii="Arial" w:hAnsi="Arial" w:cs="Arial"/>
                <w:b/>
                <w:sz w:val="20"/>
              </w:rPr>
            </w:pPr>
            <w:r w:rsidRPr="00860B85">
              <w:rPr>
                <w:rFonts w:ascii="Arial" w:hAnsi="Arial" w:cs="Arial"/>
                <w:b/>
                <w:sz w:val="20"/>
              </w:rPr>
              <w:t>Organisation</w:t>
            </w:r>
          </w:p>
        </w:tc>
        <w:tc>
          <w:tcPr>
            <w:tcW w:w="5876" w:type="dxa"/>
            <w:tcBorders>
              <w:top w:val="single" w:sz="4" w:space="0" w:color="auto"/>
              <w:bottom w:val="single" w:sz="4" w:space="0" w:color="auto"/>
            </w:tcBorders>
            <w:shd w:val="clear" w:color="auto" w:fill="auto"/>
          </w:tcPr>
          <w:p w14:paraId="030574BA" w14:textId="77777777" w:rsidR="002D055E" w:rsidRPr="00DB17D7" w:rsidRDefault="002D055E" w:rsidP="00226413">
            <w:pPr>
              <w:spacing w:before="60" w:after="60" w:line="276" w:lineRule="auto"/>
              <w:rPr>
                <w:rFonts w:ascii="Arial" w:hAnsi="Arial" w:cs="Arial"/>
                <w:sz w:val="20"/>
              </w:rPr>
            </w:pPr>
            <w:r w:rsidRPr="00DB17D7">
              <w:rPr>
                <w:rFonts w:ascii="Arial" w:hAnsi="Arial" w:cs="Arial"/>
                <w:sz w:val="20"/>
              </w:rPr>
              <w:t>Surf Life Saving New Zealand and all clubs who meet the criteria for the storage and administration of analgesia.</w:t>
            </w:r>
          </w:p>
        </w:tc>
      </w:tr>
      <w:tr w:rsidR="00860B85" w:rsidRPr="00120AAF" w14:paraId="0A343BCE" w14:textId="77777777" w:rsidTr="00860B85">
        <w:trPr>
          <w:cantSplit/>
          <w:trHeight w:val="719"/>
          <w:jc w:val="center"/>
        </w:trPr>
        <w:tc>
          <w:tcPr>
            <w:tcW w:w="2920" w:type="dxa"/>
            <w:tcBorders>
              <w:top w:val="single" w:sz="4" w:space="0" w:color="auto"/>
              <w:bottom w:val="single" w:sz="4" w:space="0" w:color="auto"/>
            </w:tcBorders>
            <w:shd w:val="clear" w:color="auto" w:fill="auto"/>
          </w:tcPr>
          <w:p w14:paraId="7092B8A5" w14:textId="77777777" w:rsidR="002D055E" w:rsidRPr="00860B85" w:rsidRDefault="002D055E" w:rsidP="00226413">
            <w:pPr>
              <w:spacing w:before="60" w:after="60" w:line="276" w:lineRule="auto"/>
              <w:rPr>
                <w:rFonts w:ascii="Arial" w:hAnsi="Arial" w:cs="Arial"/>
                <w:b/>
                <w:sz w:val="20"/>
              </w:rPr>
            </w:pPr>
            <w:r w:rsidRPr="00860B85">
              <w:rPr>
                <w:rFonts w:ascii="Arial" w:hAnsi="Arial" w:cs="Arial"/>
                <w:b/>
                <w:sz w:val="20"/>
              </w:rPr>
              <w:t>Scope</w:t>
            </w:r>
          </w:p>
        </w:tc>
        <w:tc>
          <w:tcPr>
            <w:tcW w:w="5876" w:type="dxa"/>
            <w:tcBorders>
              <w:top w:val="single" w:sz="4" w:space="0" w:color="auto"/>
              <w:bottom w:val="single" w:sz="4" w:space="0" w:color="auto"/>
            </w:tcBorders>
            <w:shd w:val="clear" w:color="auto" w:fill="auto"/>
          </w:tcPr>
          <w:p w14:paraId="47C275F6" w14:textId="77777777" w:rsidR="002D055E" w:rsidRPr="000A5DB2" w:rsidRDefault="002D055E" w:rsidP="00226413">
            <w:pPr>
              <w:spacing w:before="60" w:after="60" w:line="276" w:lineRule="auto"/>
              <w:rPr>
                <w:rFonts w:ascii="Arial" w:hAnsi="Arial" w:cs="Arial"/>
                <w:sz w:val="20"/>
              </w:rPr>
            </w:pPr>
            <w:r w:rsidRPr="00DB17D7">
              <w:rPr>
                <w:rFonts w:ascii="Arial" w:hAnsi="Arial" w:cs="Arial"/>
                <w:sz w:val="20"/>
              </w:rPr>
              <w:t xml:space="preserve">For the treatment of pain in injured beachgoers who will experience delays in transfer to hospital, or significant discomfort during transfer to further medical </w:t>
            </w:r>
            <w:proofErr w:type="gramStart"/>
            <w:r w:rsidRPr="00DB17D7">
              <w:rPr>
                <w:rFonts w:ascii="Arial" w:hAnsi="Arial" w:cs="Arial"/>
                <w:sz w:val="20"/>
              </w:rPr>
              <w:t>care.</w:t>
            </w:r>
            <w:proofErr w:type="gramEnd"/>
          </w:p>
        </w:tc>
      </w:tr>
      <w:tr w:rsidR="00860B85" w:rsidRPr="00120AAF" w14:paraId="4319C65E" w14:textId="77777777" w:rsidTr="00860B85">
        <w:trPr>
          <w:cantSplit/>
          <w:trHeight w:val="381"/>
          <w:jc w:val="center"/>
        </w:trPr>
        <w:tc>
          <w:tcPr>
            <w:tcW w:w="2920" w:type="dxa"/>
            <w:tcBorders>
              <w:top w:val="single" w:sz="4" w:space="0" w:color="auto"/>
              <w:bottom w:val="single" w:sz="4" w:space="0" w:color="auto"/>
            </w:tcBorders>
            <w:shd w:val="clear" w:color="auto" w:fill="auto"/>
          </w:tcPr>
          <w:p w14:paraId="10E714B9" w14:textId="77777777" w:rsidR="002D055E" w:rsidRPr="00860B85" w:rsidRDefault="002D055E" w:rsidP="00226413">
            <w:pPr>
              <w:spacing w:before="60" w:after="60" w:line="276" w:lineRule="auto"/>
              <w:rPr>
                <w:rFonts w:ascii="Arial" w:hAnsi="Arial" w:cs="Arial"/>
                <w:b/>
                <w:sz w:val="20"/>
              </w:rPr>
            </w:pPr>
            <w:r w:rsidRPr="00860B85">
              <w:rPr>
                <w:rFonts w:ascii="Arial" w:hAnsi="Arial" w:cs="Arial"/>
                <w:b/>
                <w:sz w:val="20"/>
              </w:rPr>
              <w:t>Medicine/s</w:t>
            </w:r>
          </w:p>
        </w:tc>
        <w:tc>
          <w:tcPr>
            <w:tcW w:w="5876" w:type="dxa"/>
            <w:tcBorders>
              <w:top w:val="single" w:sz="4" w:space="0" w:color="auto"/>
              <w:bottom w:val="single" w:sz="4" w:space="0" w:color="auto"/>
            </w:tcBorders>
            <w:shd w:val="clear" w:color="auto" w:fill="auto"/>
          </w:tcPr>
          <w:p w14:paraId="0C12AA3E" w14:textId="77777777" w:rsidR="002D055E" w:rsidRPr="00DB17D7" w:rsidRDefault="002D055E" w:rsidP="00226413">
            <w:pPr>
              <w:spacing w:before="60" w:after="60" w:line="276" w:lineRule="auto"/>
              <w:rPr>
                <w:rFonts w:ascii="Arial" w:hAnsi="Arial" w:cs="Arial"/>
                <w:sz w:val="20"/>
              </w:rPr>
            </w:pPr>
            <w:r w:rsidRPr="00DB17D7">
              <w:rPr>
                <w:rFonts w:ascii="Arial" w:hAnsi="Arial" w:cs="Arial"/>
                <w:sz w:val="20"/>
              </w:rPr>
              <w:t>Methoxyflurane</w:t>
            </w:r>
          </w:p>
        </w:tc>
      </w:tr>
      <w:tr w:rsidR="00860B85" w:rsidRPr="00120AAF" w14:paraId="7801910F" w14:textId="77777777" w:rsidTr="00860B85">
        <w:trPr>
          <w:cantSplit/>
          <w:trHeight w:val="691"/>
          <w:jc w:val="center"/>
        </w:trPr>
        <w:tc>
          <w:tcPr>
            <w:tcW w:w="2920" w:type="dxa"/>
            <w:tcBorders>
              <w:top w:val="single" w:sz="4" w:space="0" w:color="auto"/>
              <w:bottom w:val="single" w:sz="4" w:space="0" w:color="auto"/>
            </w:tcBorders>
            <w:shd w:val="clear" w:color="auto" w:fill="auto"/>
          </w:tcPr>
          <w:p w14:paraId="4EDBE6AE" w14:textId="77777777" w:rsidR="002D055E" w:rsidRPr="00860B85" w:rsidRDefault="002D055E" w:rsidP="00226413">
            <w:pPr>
              <w:spacing w:before="60" w:after="60" w:line="276" w:lineRule="auto"/>
              <w:rPr>
                <w:rFonts w:ascii="Arial" w:hAnsi="Arial" w:cs="Arial"/>
                <w:b/>
                <w:sz w:val="20"/>
              </w:rPr>
            </w:pPr>
            <w:r w:rsidRPr="00860B85">
              <w:rPr>
                <w:rFonts w:ascii="Arial" w:hAnsi="Arial" w:cs="Arial"/>
                <w:b/>
                <w:sz w:val="20"/>
              </w:rPr>
              <w:t>Dosage instructions for each medicine</w:t>
            </w:r>
          </w:p>
        </w:tc>
        <w:tc>
          <w:tcPr>
            <w:tcW w:w="5876" w:type="dxa"/>
            <w:tcBorders>
              <w:top w:val="single" w:sz="4" w:space="0" w:color="auto"/>
              <w:bottom w:val="single" w:sz="4" w:space="0" w:color="auto"/>
            </w:tcBorders>
            <w:shd w:val="clear" w:color="auto" w:fill="auto"/>
          </w:tcPr>
          <w:p w14:paraId="652D7594" w14:textId="77777777" w:rsidR="002D055E" w:rsidRPr="00DB17D7" w:rsidRDefault="002D055E" w:rsidP="00226413">
            <w:pPr>
              <w:spacing w:before="60" w:after="60" w:line="276" w:lineRule="auto"/>
              <w:rPr>
                <w:rFonts w:ascii="Arial" w:hAnsi="Arial" w:cs="Arial"/>
                <w:sz w:val="20"/>
              </w:rPr>
            </w:pPr>
            <w:r w:rsidRPr="00DB17D7">
              <w:rPr>
                <w:rFonts w:ascii="Arial" w:hAnsi="Arial" w:cs="Arial"/>
                <w:sz w:val="20"/>
              </w:rPr>
              <w:t>3mL Methoxyflurane per dose inhaler AC Chamber</w:t>
            </w:r>
          </w:p>
          <w:p w14:paraId="1C049CD6" w14:textId="45FC2312" w:rsidR="002D055E" w:rsidRPr="000A5DB2" w:rsidRDefault="002D055E" w:rsidP="00226413">
            <w:pPr>
              <w:spacing w:before="60" w:after="60" w:line="276" w:lineRule="auto"/>
              <w:rPr>
                <w:rFonts w:ascii="Arial" w:hAnsi="Arial" w:cs="Arial"/>
                <w:sz w:val="20"/>
              </w:rPr>
            </w:pPr>
            <w:r w:rsidRPr="000A5DB2">
              <w:rPr>
                <w:rFonts w:ascii="Arial" w:hAnsi="Arial" w:cs="Arial"/>
                <w:sz w:val="20"/>
              </w:rPr>
              <w:t>(max</w:t>
            </w:r>
            <w:r w:rsidR="00784F53">
              <w:rPr>
                <w:rFonts w:ascii="Arial" w:hAnsi="Arial" w:cs="Arial"/>
                <w:sz w:val="20"/>
              </w:rPr>
              <w:t>imum of</w:t>
            </w:r>
            <w:r w:rsidRPr="000A5DB2">
              <w:rPr>
                <w:rFonts w:ascii="Arial" w:hAnsi="Arial" w:cs="Arial"/>
                <w:sz w:val="20"/>
              </w:rPr>
              <w:t xml:space="preserve"> </w:t>
            </w:r>
            <w:r w:rsidR="00784F53">
              <w:rPr>
                <w:rFonts w:ascii="Arial" w:hAnsi="Arial" w:cs="Arial"/>
                <w:sz w:val="20"/>
              </w:rPr>
              <w:t xml:space="preserve">1 dose for a child, or </w:t>
            </w:r>
            <w:r w:rsidRPr="000A5DB2">
              <w:rPr>
                <w:rFonts w:ascii="Arial" w:hAnsi="Arial" w:cs="Arial"/>
                <w:sz w:val="20"/>
              </w:rPr>
              <w:t>2 doses</w:t>
            </w:r>
            <w:r w:rsidR="00784F53">
              <w:rPr>
                <w:rFonts w:ascii="Arial" w:hAnsi="Arial" w:cs="Arial"/>
                <w:sz w:val="20"/>
              </w:rPr>
              <w:t xml:space="preserve"> for an adult</w:t>
            </w:r>
            <w:r w:rsidRPr="000A5DB2">
              <w:rPr>
                <w:rFonts w:ascii="Arial" w:hAnsi="Arial" w:cs="Arial"/>
                <w:sz w:val="20"/>
              </w:rPr>
              <w:t>)</w:t>
            </w:r>
          </w:p>
        </w:tc>
      </w:tr>
      <w:tr w:rsidR="00860B85" w:rsidRPr="00120AAF" w14:paraId="398437D1" w14:textId="77777777" w:rsidTr="00860B85">
        <w:trPr>
          <w:cantSplit/>
          <w:trHeight w:val="381"/>
          <w:jc w:val="center"/>
        </w:trPr>
        <w:tc>
          <w:tcPr>
            <w:tcW w:w="2920" w:type="dxa"/>
            <w:tcBorders>
              <w:top w:val="single" w:sz="4" w:space="0" w:color="auto"/>
              <w:bottom w:val="single" w:sz="4" w:space="0" w:color="auto"/>
            </w:tcBorders>
            <w:shd w:val="clear" w:color="auto" w:fill="auto"/>
          </w:tcPr>
          <w:p w14:paraId="6F26EC0D" w14:textId="77777777" w:rsidR="002D055E" w:rsidRPr="00860B85" w:rsidRDefault="002D055E" w:rsidP="00226413">
            <w:pPr>
              <w:spacing w:before="60" w:after="60" w:line="276" w:lineRule="auto"/>
              <w:rPr>
                <w:rFonts w:ascii="Arial" w:hAnsi="Arial" w:cs="Arial"/>
                <w:b/>
                <w:sz w:val="20"/>
              </w:rPr>
            </w:pPr>
            <w:r w:rsidRPr="00860B85">
              <w:rPr>
                <w:rFonts w:ascii="Arial" w:hAnsi="Arial" w:cs="Arial"/>
                <w:b/>
                <w:sz w:val="20"/>
              </w:rPr>
              <w:t>Route of administration</w:t>
            </w:r>
          </w:p>
        </w:tc>
        <w:tc>
          <w:tcPr>
            <w:tcW w:w="5876" w:type="dxa"/>
            <w:tcBorders>
              <w:top w:val="single" w:sz="4" w:space="0" w:color="auto"/>
              <w:bottom w:val="single" w:sz="4" w:space="0" w:color="auto"/>
            </w:tcBorders>
            <w:shd w:val="clear" w:color="auto" w:fill="auto"/>
          </w:tcPr>
          <w:p w14:paraId="433A9573" w14:textId="77777777" w:rsidR="002D055E" w:rsidRPr="00DB17D7" w:rsidRDefault="002D055E" w:rsidP="00226413">
            <w:pPr>
              <w:spacing w:before="60" w:after="60" w:line="276" w:lineRule="auto"/>
              <w:rPr>
                <w:rFonts w:ascii="Arial" w:hAnsi="Arial" w:cs="Arial"/>
                <w:sz w:val="20"/>
              </w:rPr>
            </w:pPr>
            <w:r w:rsidRPr="00DB17D7">
              <w:rPr>
                <w:rFonts w:ascii="Arial" w:hAnsi="Arial" w:cs="Arial"/>
                <w:sz w:val="20"/>
              </w:rPr>
              <w:t>Oral</w:t>
            </w:r>
          </w:p>
        </w:tc>
      </w:tr>
      <w:tr w:rsidR="00860B85" w:rsidRPr="00120AAF" w14:paraId="616CBFEE" w14:textId="77777777" w:rsidTr="00860B85">
        <w:trPr>
          <w:cantSplit/>
          <w:trHeight w:val="635"/>
          <w:jc w:val="center"/>
        </w:trPr>
        <w:tc>
          <w:tcPr>
            <w:tcW w:w="2920" w:type="dxa"/>
            <w:tcBorders>
              <w:top w:val="single" w:sz="4" w:space="0" w:color="auto"/>
              <w:bottom w:val="single" w:sz="4" w:space="0" w:color="auto"/>
            </w:tcBorders>
            <w:shd w:val="clear" w:color="auto" w:fill="auto"/>
          </w:tcPr>
          <w:p w14:paraId="205E1B01" w14:textId="77777777" w:rsidR="002D055E" w:rsidRPr="00DB17D7" w:rsidRDefault="002D055E" w:rsidP="00226413">
            <w:pPr>
              <w:spacing w:before="60" w:after="60" w:line="276" w:lineRule="auto"/>
              <w:rPr>
                <w:rFonts w:ascii="Arial" w:hAnsi="Arial" w:cs="Arial"/>
                <w:b/>
                <w:sz w:val="20"/>
              </w:rPr>
            </w:pPr>
            <w:r w:rsidRPr="00860B85">
              <w:rPr>
                <w:rFonts w:ascii="Arial" w:hAnsi="Arial" w:cs="Arial"/>
                <w:b/>
                <w:sz w:val="20"/>
              </w:rPr>
              <w:t>Circumstances for activating the standing order</w:t>
            </w:r>
          </w:p>
        </w:tc>
        <w:tc>
          <w:tcPr>
            <w:tcW w:w="5876" w:type="dxa"/>
            <w:tcBorders>
              <w:top w:val="single" w:sz="4" w:space="0" w:color="auto"/>
              <w:bottom w:val="single" w:sz="4" w:space="0" w:color="auto"/>
            </w:tcBorders>
            <w:shd w:val="clear" w:color="auto" w:fill="auto"/>
          </w:tcPr>
          <w:p w14:paraId="553EB32E" w14:textId="0DD7DFF7" w:rsidR="002D055E" w:rsidRPr="000A5DB2" w:rsidRDefault="001458DE" w:rsidP="00226413">
            <w:pPr>
              <w:spacing w:before="60" w:after="60" w:line="276" w:lineRule="auto"/>
              <w:rPr>
                <w:rFonts w:ascii="Arial" w:hAnsi="Arial" w:cs="Arial"/>
                <w:sz w:val="20"/>
              </w:rPr>
            </w:pPr>
            <w:r>
              <w:rPr>
                <w:rFonts w:ascii="Arial" w:hAnsi="Arial" w:cs="Arial"/>
                <w:sz w:val="20"/>
              </w:rPr>
              <w:t>Moderate to s</w:t>
            </w:r>
            <w:r w:rsidR="002D055E" w:rsidRPr="000A5DB2">
              <w:rPr>
                <w:rFonts w:ascii="Arial" w:hAnsi="Arial" w:cs="Arial"/>
                <w:sz w:val="20"/>
              </w:rPr>
              <w:t>evere pain due to trauma</w:t>
            </w:r>
          </w:p>
        </w:tc>
      </w:tr>
      <w:tr w:rsidR="00860B85" w:rsidRPr="00120AAF" w14:paraId="014CC244" w14:textId="77777777" w:rsidTr="00860B85">
        <w:trPr>
          <w:cantSplit/>
          <w:trHeight w:val="2286"/>
          <w:jc w:val="center"/>
        </w:trPr>
        <w:tc>
          <w:tcPr>
            <w:tcW w:w="2920" w:type="dxa"/>
            <w:tcBorders>
              <w:top w:val="single" w:sz="4" w:space="0" w:color="auto"/>
              <w:bottom w:val="single" w:sz="4" w:space="0" w:color="auto"/>
            </w:tcBorders>
            <w:shd w:val="clear" w:color="auto" w:fill="auto"/>
          </w:tcPr>
          <w:p w14:paraId="240BED99" w14:textId="77777777" w:rsidR="002D055E" w:rsidRPr="00860B85" w:rsidRDefault="002D055E" w:rsidP="00226413">
            <w:pPr>
              <w:spacing w:before="60" w:after="60" w:line="276" w:lineRule="auto"/>
              <w:rPr>
                <w:rFonts w:ascii="Arial" w:hAnsi="Arial" w:cs="Arial"/>
                <w:b/>
                <w:sz w:val="20"/>
              </w:rPr>
            </w:pPr>
            <w:r w:rsidRPr="00860B85">
              <w:rPr>
                <w:rFonts w:ascii="Arial" w:hAnsi="Arial" w:cs="Arial"/>
                <w:b/>
                <w:sz w:val="20"/>
              </w:rPr>
              <w:t>Exclusions that apply to this standing order</w:t>
            </w:r>
          </w:p>
        </w:tc>
        <w:tc>
          <w:tcPr>
            <w:tcW w:w="5876" w:type="dxa"/>
            <w:tcBorders>
              <w:top w:val="single" w:sz="4" w:space="0" w:color="auto"/>
              <w:bottom w:val="single" w:sz="4" w:space="0" w:color="auto"/>
            </w:tcBorders>
            <w:shd w:val="clear" w:color="auto" w:fill="auto"/>
          </w:tcPr>
          <w:p w14:paraId="78A6BBC7" w14:textId="77777777" w:rsidR="002D055E" w:rsidRPr="00DB17D7" w:rsidRDefault="002D055E" w:rsidP="00226413">
            <w:pPr>
              <w:spacing w:before="60" w:after="60" w:line="276" w:lineRule="auto"/>
              <w:rPr>
                <w:rFonts w:ascii="Arial" w:hAnsi="Arial" w:cs="Arial"/>
                <w:b/>
                <w:sz w:val="20"/>
              </w:rPr>
            </w:pPr>
            <w:r w:rsidRPr="00DB17D7">
              <w:rPr>
                <w:rFonts w:ascii="Arial" w:hAnsi="Arial" w:cs="Arial"/>
                <w:b/>
                <w:sz w:val="20"/>
              </w:rPr>
              <w:t>Patient history of:</w:t>
            </w:r>
          </w:p>
          <w:p w14:paraId="2F7EC026" w14:textId="77777777" w:rsidR="002D055E" w:rsidRPr="000A5DB2" w:rsidRDefault="002D055E" w:rsidP="00226413">
            <w:pPr>
              <w:numPr>
                <w:ilvl w:val="0"/>
                <w:numId w:val="7"/>
              </w:numPr>
              <w:spacing w:before="60" w:after="60" w:line="276" w:lineRule="auto"/>
              <w:ind w:left="794" w:hanging="426"/>
              <w:rPr>
                <w:rFonts w:ascii="Arial" w:eastAsiaTheme="minorEastAsia" w:hAnsi="Arial" w:cs="Arial"/>
                <w:sz w:val="20"/>
                <w:lang w:val="en-US" w:eastAsia="en-US"/>
              </w:rPr>
            </w:pPr>
            <w:r w:rsidRPr="00DB17D7">
              <w:rPr>
                <w:rFonts w:ascii="Arial" w:eastAsiaTheme="minorEastAsia" w:hAnsi="Arial" w:cs="Arial"/>
                <w:sz w:val="20"/>
                <w:lang w:val="en-US" w:eastAsia="en-US"/>
              </w:rPr>
              <w:t>Renal impairment.</w:t>
            </w:r>
          </w:p>
          <w:p w14:paraId="2C9E3936" w14:textId="77777777" w:rsidR="002D055E" w:rsidRPr="00120AAF" w:rsidRDefault="002D055E" w:rsidP="00226413">
            <w:pPr>
              <w:numPr>
                <w:ilvl w:val="0"/>
                <w:numId w:val="7"/>
              </w:numPr>
              <w:spacing w:before="60" w:after="60" w:line="276" w:lineRule="auto"/>
              <w:ind w:left="794" w:hanging="426"/>
              <w:rPr>
                <w:rFonts w:ascii="Arial" w:eastAsiaTheme="minorEastAsia" w:hAnsi="Arial" w:cs="Arial"/>
                <w:sz w:val="20"/>
                <w:lang w:val="en-US" w:eastAsia="en-US"/>
              </w:rPr>
            </w:pPr>
            <w:r w:rsidRPr="00120AAF">
              <w:rPr>
                <w:rFonts w:ascii="Arial" w:eastAsiaTheme="minorEastAsia" w:hAnsi="Arial" w:cs="Arial"/>
                <w:sz w:val="20"/>
                <w:lang w:val="en-US" w:eastAsia="en-US"/>
              </w:rPr>
              <w:t>History or family history of malignant hyperthermia.</w:t>
            </w:r>
          </w:p>
          <w:p w14:paraId="4D05AA6D" w14:textId="77777777" w:rsidR="002D055E" w:rsidRPr="00120AAF" w:rsidRDefault="002D055E" w:rsidP="00226413">
            <w:pPr>
              <w:numPr>
                <w:ilvl w:val="0"/>
                <w:numId w:val="7"/>
              </w:numPr>
              <w:spacing w:before="60" w:after="60" w:line="276" w:lineRule="auto"/>
              <w:ind w:left="794" w:hanging="426"/>
              <w:rPr>
                <w:rFonts w:ascii="Arial" w:eastAsiaTheme="minorEastAsia" w:hAnsi="Arial" w:cs="Arial"/>
                <w:sz w:val="20"/>
                <w:lang w:val="en-US" w:eastAsia="en-US"/>
              </w:rPr>
            </w:pPr>
            <w:r w:rsidRPr="00120AAF">
              <w:rPr>
                <w:rFonts w:ascii="Arial" w:eastAsiaTheme="minorEastAsia" w:hAnsi="Arial" w:cs="Arial"/>
                <w:sz w:val="20"/>
                <w:lang w:val="en-US" w:eastAsia="en-US"/>
              </w:rPr>
              <w:t>Known allergy to Methoxyflurane.</w:t>
            </w:r>
          </w:p>
          <w:p w14:paraId="6D680152" w14:textId="77777777" w:rsidR="002D055E" w:rsidRPr="00120AAF" w:rsidRDefault="002D055E" w:rsidP="00226413">
            <w:pPr>
              <w:numPr>
                <w:ilvl w:val="0"/>
                <w:numId w:val="7"/>
              </w:numPr>
              <w:spacing w:before="60" w:after="60" w:line="276" w:lineRule="auto"/>
              <w:ind w:left="794" w:hanging="426"/>
              <w:rPr>
                <w:rFonts w:ascii="Arial" w:eastAsiaTheme="minorEastAsia" w:hAnsi="Arial" w:cs="Arial"/>
                <w:sz w:val="20"/>
                <w:lang w:val="en-US" w:eastAsia="en-US"/>
              </w:rPr>
            </w:pPr>
            <w:r w:rsidRPr="00120AAF">
              <w:rPr>
                <w:rFonts w:ascii="Arial" w:eastAsiaTheme="minorEastAsia" w:hAnsi="Arial" w:cs="Arial"/>
                <w:sz w:val="20"/>
                <w:lang w:val="en-US" w:eastAsia="en-US"/>
              </w:rPr>
              <w:t>Use of Methoxyflurane within the last 7 days.</w:t>
            </w:r>
          </w:p>
          <w:p w14:paraId="4A078BF1" w14:textId="77777777" w:rsidR="002D055E" w:rsidRPr="00120AAF" w:rsidRDefault="002D055E" w:rsidP="00226413">
            <w:pPr>
              <w:spacing w:before="60" w:after="60" w:line="276" w:lineRule="auto"/>
              <w:rPr>
                <w:rFonts w:ascii="Arial" w:hAnsi="Arial" w:cs="Arial"/>
                <w:b/>
                <w:sz w:val="20"/>
              </w:rPr>
            </w:pPr>
            <w:r w:rsidRPr="00120AAF">
              <w:rPr>
                <w:rFonts w:ascii="Arial" w:hAnsi="Arial" w:cs="Arial"/>
                <w:b/>
                <w:sz w:val="20"/>
              </w:rPr>
              <w:t>Patient currently:</w:t>
            </w:r>
          </w:p>
          <w:p w14:paraId="1E907EC9" w14:textId="77777777" w:rsidR="002D055E" w:rsidRPr="00120AAF" w:rsidRDefault="002D055E" w:rsidP="00226413">
            <w:pPr>
              <w:numPr>
                <w:ilvl w:val="0"/>
                <w:numId w:val="7"/>
              </w:numPr>
              <w:spacing w:before="60" w:after="60" w:line="276" w:lineRule="auto"/>
              <w:ind w:left="794" w:hanging="426"/>
              <w:rPr>
                <w:rFonts w:ascii="Arial" w:eastAsiaTheme="minorEastAsia" w:hAnsi="Arial" w:cs="Arial"/>
                <w:sz w:val="20"/>
                <w:lang w:val="en-US" w:eastAsia="en-US"/>
              </w:rPr>
            </w:pPr>
            <w:r w:rsidRPr="00120AAF">
              <w:rPr>
                <w:rFonts w:ascii="Arial" w:eastAsiaTheme="minorEastAsia" w:hAnsi="Arial" w:cs="Arial"/>
                <w:sz w:val="20"/>
                <w:lang w:val="en-US" w:eastAsia="en-US"/>
              </w:rPr>
              <w:t>Unable to follow instructions.</w:t>
            </w:r>
          </w:p>
          <w:p w14:paraId="285C9D84" w14:textId="77777777" w:rsidR="002D055E" w:rsidRPr="00120AAF" w:rsidRDefault="002D055E" w:rsidP="00226413">
            <w:pPr>
              <w:numPr>
                <w:ilvl w:val="0"/>
                <w:numId w:val="7"/>
              </w:numPr>
              <w:spacing w:before="60" w:after="60" w:line="276" w:lineRule="auto"/>
              <w:ind w:left="794" w:hanging="426"/>
              <w:rPr>
                <w:rFonts w:ascii="Arial" w:eastAsiaTheme="minorEastAsia" w:hAnsi="Arial" w:cs="Arial"/>
                <w:sz w:val="20"/>
                <w:lang w:val="en-US" w:eastAsia="en-US"/>
              </w:rPr>
            </w:pPr>
            <w:r w:rsidRPr="00120AAF">
              <w:rPr>
                <w:rFonts w:ascii="Arial" w:eastAsiaTheme="minorEastAsia" w:hAnsi="Arial" w:cs="Arial"/>
                <w:sz w:val="20"/>
                <w:lang w:val="en-US" w:eastAsia="en-US"/>
              </w:rPr>
              <w:t>Possibly suffering a head injury.</w:t>
            </w:r>
          </w:p>
          <w:p w14:paraId="0413A926" w14:textId="77777777" w:rsidR="002D055E" w:rsidRPr="00120AAF" w:rsidRDefault="002D055E" w:rsidP="00226413">
            <w:pPr>
              <w:numPr>
                <w:ilvl w:val="0"/>
                <w:numId w:val="7"/>
              </w:numPr>
              <w:spacing w:before="60" w:after="60" w:line="276" w:lineRule="auto"/>
              <w:ind w:left="794" w:hanging="426"/>
              <w:rPr>
                <w:rFonts w:ascii="Arial" w:eastAsiaTheme="minorEastAsia" w:hAnsi="Arial" w:cs="Arial"/>
                <w:sz w:val="20"/>
                <w:lang w:val="en-US" w:eastAsia="en-US"/>
              </w:rPr>
            </w:pPr>
            <w:r w:rsidRPr="00120AAF">
              <w:rPr>
                <w:rFonts w:ascii="Arial" w:eastAsiaTheme="minorEastAsia" w:hAnsi="Arial" w:cs="Arial"/>
                <w:sz w:val="20"/>
                <w:lang w:val="en-US" w:eastAsia="en-US"/>
              </w:rPr>
              <w:t>Intoxicated with drugs/alcohol.</w:t>
            </w:r>
          </w:p>
        </w:tc>
      </w:tr>
      <w:tr w:rsidR="002D055E" w:rsidRPr="00120AAF" w14:paraId="2AB48BDD" w14:textId="77777777" w:rsidTr="00226413">
        <w:trPr>
          <w:cantSplit/>
          <w:trHeight w:val="2286"/>
          <w:jc w:val="center"/>
        </w:trPr>
        <w:tc>
          <w:tcPr>
            <w:tcW w:w="2920" w:type="dxa"/>
            <w:tcBorders>
              <w:top w:val="single" w:sz="4" w:space="0" w:color="auto"/>
              <w:bottom w:val="single" w:sz="4" w:space="0" w:color="auto"/>
            </w:tcBorders>
            <w:shd w:val="clear" w:color="auto" w:fill="auto"/>
          </w:tcPr>
          <w:p w14:paraId="78C56BAA" w14:textId="77777777" w:rsidR="002D055E" w:rsidRPr="00860B85" w:rsidRDefault="002D055E" w:rsidP="00226413">
            <w:pPr>
              <w:spacing w:before="60" w:after="60" w:line="276" w:lineRule="auto"/>
              <w:rPr>
                <w:rFonts w:ascii="Arial" w:hAnsi="Arial" w:cs="Arial"/>
                <w:b/>
                <w:sz w:val="20"/>
              </w:rPr>
            </w:pPr>
            <w:r w:rsidRPr="00860B85">
              <w:rPr>
                <w:rFonts w:ascii="Arial" w:hAnsi="Arial" w:cs="Arial"/>
                <w:b/>
                <w:sz w:val="20"/>
              </w:rPr>
              <w:lastRenderedPageBreak/>
              <w:t>Competency/training requirements for the person(s) authorised to administer</w:t>
            </w:r>
          </w:p>
        </w:tc>
        <w:tc>
          <w:tcPr>
            <w:tcW w:w="5876" w:type="dxa"/>
            <w:tcBorders>
              <w:top w:val="single" w:sz="4" w:space="0" w:color="auto"/>
              <w:bottom w:val="single" w:sz="4" w:space="0" w:color="auto"/>
            </w:tcBorders>
            <w:shd w:val="clear" w:color="auto" w:fill="auto"/>
          </w:tcPr>
          <w:p w14:paraId="48C0451B" w14:textId="77777777" w:rsidR="002D055E" w:rsidRPr="00DB17D7" w:rsidRDefault="002D055E" w:rsidP="00226413">
            <w:pPr>
              <w:numPr>
                <w:ilvl w:val="0"/>
                <w:numId w:val="6"/>
              </w:numPr>
              <w:spacing w:before="60" w:after="60" w:line="276" w:lineRule="auto"/>
              <w:rPr>
                <w:rFonts w:ascii="Arial" w:eastAsiaTheme="minorEastAsia" w:hAnsi="Arial" w:cs="Arial"/>
                <w:sz w:val="20"/>
                <w:lang w:val="en-US" w:eastAsia="en-US"/>
              </w:rPr>
            </w:pPr>
            <w:r w:rsidRPr="00860B85">
              <w:rPr>
                <w:rFonts w:ascii="Arial" w:eastAsiaTheme="minorEastAsia" w:hAnsi="Arial" w:cs="Arial"/>
                <w:sz w:val="20"/>
                <w:lang w:val="en-US" w:eastAsia="en-US"/>
              </w:rPr>
              <w:t xml:space="preserve">Name and contact details on SLSNZ register. </w:t>
            </w:r>
          </w:p>
          <w:p w14:paraId="1327F4DA" w14:textId="77777777" w:rsidR="002D055E" w:rsidRPr="00120AAF" w:rsidRDefault="002D055E" w:rsidP="00226413">
            <w:pPr>
              <w:numPr>
                <w:ilvl w:val="0"/>
                <w:numId w:val="6"/>
              </w:numPr>
              <w:spacing w:before="60" w:after="60" w:line="276" w:lineRule="auto"/>
              <w:rPr>
                <w:rFonts w:ascii="Arial" w:eastAsiaTheme="minorEastAsia" w:hAnsi="Arial" w:cs="Arial"/>
                <w:sz w:val="20"/>
                <w:lang w:val="en-US" w:eastAsia="en-US"/>
              </w:rPr>
            </w:pPr>
            <w:r w:rsidRPr="000A5DB2">
              <w:rPr>
                <w:rFonts w:ascii="Arial" w:eastAsiaTheme="minorEastAsia" w:hAnsi="Arial" w:cs="Arial"/>
                <w:sz w:val="20"/>
                <w:lang w:val="en-US" w:eastAsia="en-US"/>
              </w:rPr>
              <w:t>Biannual</w:t>
            </w:r>
            <w:r w:rsidRPr="00120AAF">
              <w:rPr>
                <w:rFonts w:ascii="Arial" w:eastAsiaTheme="minorEastAsia" w:hAnsi="Arial" w:cs="Arial"/>
                <w:sz w:val="20"/>
                <w:lang w:val="en-US" w:eastAsia="en-US"/>
              </w:rPr>
              <w:t xml:space="preserve"> renewal of Advanced Surf First Aid and pain management qualifications (see below). </w:t>
            </w:r>
          </w:p>
          <w:p w14:paraId="7EE91314" w14:textId="77777777" w:rsidR="002D055E" w:rsidRPr="00120AAF" w:rsidRDefault="002D055E" w:rsidP="00226413">
            <w:pPr>
              <w:numPr>
                <w:ilvl w:val="0"/>
                <w:numId w:val="6"/>
              </w:numPr>
              <w:spacing w:before="60" w:after="60" w:line="276" w:lineRule="auto"/>
              <w:rPr>
                <w:rFonts w:ascii="Arial" w:eastAsiaTheme="minorEastAsia" w:hAnsi="Arial" w:cs="Arial"/>
                <w:sz w:val="20"/>
                <w:lang w:val="en-US" w:eastAsia="en-US"/>
              </w:rPr>
            </w:pPr>
            <w:r w:rsidRPr="00120AAF">
              <w:rPr>
                <w:rFonts w:ascii="Arial" w:eastAsiaTheme="minorEastAsia" w:hAnsi="Arial" w:cs="Arial"/>
                <w:sz w:val="20"/>
                <w:lang w:val="en-US" w:eastAsia="en-US"/>
              </w:rPr>
              <w:t>Annual authority to administer signed by the SLSNZ Medical Director.</w:t>
            </w:r>
          </w:p>
          <w:p w14:paraId="4E8DD5D5" w14:textId="77777777" w:rsidR="002D055E" w:rsidRPr="00120AAF" w:rsidRDefault="002D055E" w:rsidP="00226413">
            <w:pPr>
              <w:numPr>
                <w:ilvl w:val="0"/>
                <w:numId w:val="6"/>
              </w:numPr>
              <w:spacing w:before="60" w:after="60" w:line="276" w:lineRule="auto"/>
              <w:rPr>
                <w:rFonts w:ascii="Arial" w:eastAsiaTheme="minorEastAsia" w:hAnsi="Arial" w:cs="Arial"/>
                <w:sz w:val="20"/>
                <w:lang w:val="en-US" w:eastAsia="en-US"/>
              </w:rPr>
            </w:pPr>
            <w:r w:rsidRPr="00120AAF">
              <w:rPr>
                <w:rFonts w:ascii="Arial" w:eastAsiaTheme="minorEastAsia" w:hAnsi="Arial" w:cs="Arial"/>
                <w:sz w:val="20"/>
                <w:lang w:val="en-US" w:eastAsia="en-US"/>
              </w:rPr>
              <w:t xml:space="preserve">Completion of all documentation requirements for the administration of Methoxyflurane. </w:t>
            </w:r>
          </w:p>
          <w:p w14:paraId="3251380D" w14:textId="77777777" w:rsidR="002D055E" w:rsidRPr="00120AAF" w:rsidRDefault="002D055E" w:rsidP="00226413">
            <w:pPr>
              <w:numPr>
                <w:ilvl w:val="0"/>
                <w:numId w:val="6"/>
              </w:numPr>
              <w:spacing w:before="60" w:after="60" w:line="276" w:lineRule="auto"/>
              <w:rPr>
                <w:rFonts w:ascii="Arial" w:eastAsiaTheme="minorEastAsia" w:hAnsi="Arial" w:cs="Arial"/>
                <w:sz w:val="20"/>
                <w:lang w:val="en-US" w:eastAsia="en-US"/>
              </w:rPr>
            </w:pPr>
            <w:r w:rsidRPr="00120AAF">
              <w:rPr>
                <w:rFonts w:ascii="Arial" w:eastAsiaTheme="minorEastAsia" w:hAnsi="Arial" w:cs="Arial"/>
                <w:sz w:val="20"/>
                <w:lang w:val="en-US" w:eastAsia="en-US"/>
              </w:rPr>
              <w:t>Ensure that all SLSNZ policies and procedures surrounding the use of medications are adhered to.</w:t>
            </w:r>
          </w:p>
          <w:p w14:paraId="70E0253C" w14:textId="77777777" w:rsidR="002D055E" w:rsidRPr="00120AAF" w:rsidRDefault="002D055E" w:rsidP="00226413">
            <w:pPr>
              <w:spacing w:before="60" w:after="60" w:line="276" w:lineRule="auto"/>
              <w:ind w:left="720"/>
              <w:rPr>
                <w:rFonts w:ascii="Arial" w:eastAsiaTheme="minorEastAsia" w:hAnsi="Arial" w:cs="Arial"/>
                <w:sz w:val="20"/>
                <w:lang w:val="en-US" w:eastAsia="en-US"/>
              </w:rPr>
            </w:pPr>
          </w:p>
          <w:p w14:paraId="620158D2" w14:textId="47D57049" w:rsidR="002D055E" w:rsidRPr="00120AAF" w:rsidRDefault="002D055E" w:rsidP="00226413">
            <w:pPr>
              <w:spacing w:before="60" w:after="60" w:line="276" w:lineRule="auto"/>
              <w:rPr>
                <w:rFonts w:ascii="Arial" w:hAnsi="Arial" w:cs="Arial"/>
                <w:sz w:val="20"/>
                <w:lang w:eastAsia="en-US"/>
              </w:rPr>
            </w:pPr>
            <w:r w:rsidRPr="00120AAF">
              <w:rPr>
                <w:rFonts w:ascii="Arial" w:hAnsi="Arial" w:cs="Arial"/>
                <w:sz w:val="20"/>
                <w:lang w:eastAsia="en-US"/>
              </w:rPr>
              <w:t xml:space="preserve">The Pain </w:t>
            </w:r>
            <w:r w:rsidR="002170D8">
              <w:rPr>
                <w:rFonts w:ascii="Arial" w:hAnsi="Arial" w:cs="Arial"/>
                <w:sz w:val="20"/>
                <w:lang w:eastAsia="en-US"/>
              </w:rPr>
              <w:t>Relief Module</w:t>
            </w:r>
            <w:bookmarkStart w:id="1" w:name="_GoBack"/>
            <w:bookmarkEnd w:id="1"/>
            <w:r w:rsidRPr="00120AAF">
              <w:rPr>
                <w:rFonts w:ascii="Arial" w:hAnsi="Arial" w:cs="Arial"/>
                <w:sz w:val="20"/>
                <w:lang w:eastAsia="en-US"/>
              </w:rPr>
              <w:t xml:space="preserve"> qualification is of </w:t>
            </w:r>
            <w:r w:rsidR="001458DE">
              <w:rPr>
                <w:rFonts w:ascii="Arial" w:hAnsi="Arial" w:cs="Arial"/>
                <w:sz w:val="20"/>
                <w:lang w:eastAsia="en-US"/>
              </w:rPr>
              <w:t>2</w:t>
            </w:r>
            <w:r w:rsidRPr="00120AAF">
              <w:rPr>
                <w:rFonts w:ascii="Arial" w:hAnsi="Arial" w:cs="Arial"/>
                <w:sz w:val="20"/>
                <w:lang w:eastAsia="en-US"/>
              </w:rPr>
              <w:t>-hour duration and will include the effective use of Paracetamol as a total pain management regime. It will involve some pain physiology, use of pain relief with other resources such as splints and oxygen, and include formal assessment.</w:t>
            </w:r>
          </w:p>
          <w:p w14:paraId="68B94B06" w14:textId="77777777" w:rsidR="002D055E" w:rsidRPr="00120AAF" w:rsidRDefault="002D055E" w:rsidP="00226413">
            <w:pPr>
              <w:spacing w:before="60" w:after="60" w:line="276" w:lineRule="auto"/>
              <w:rPr>
                <w:rFonts w:ascii="Arial" w:hAnsi="Arial" w:cs="Arial"/>
                <w:sz w:val="20"/>
                <w:lang w:eastAsia="en-US"/>
              </w:rPr>
            </w:pPr>
          </w:p>
          <w:p w14:paraId="2780241C" w14:textId="77777777" w:rsidR="002D055E" w:rsidRPr="00120AAF" w:rsidRDefault="002D055E" w:rsidP="00226413">
            <w:pPr>
              <w:spacing w:before="60" w:after="60" w:line="276" w:lineRule="auto"/>
              <w:rPr>
                <w:rFonts w:ascii="Arial" w:hAnsi="Arial" w:cs="Arial"/>
                <w:sz w:val="20"/>
                <w:lang w:eastAsia="en-US"/>
              </w:rPr>
            </w:pPr>
            <w:r w:rsidRPr="00120AAF">
              <w:rPr>
                <w:rFonts w:ascii="Arial" w:hAnsi="Arial" w:cs="Arial"/>
                <w:sz w:val="20"/>
                <w:lang w:eastAsia="en-US"/>
              </w:rPr>
              <w:t>The training will cover the following:</w:t>
            </w:r>
          </w:p>
          <w:p w14:paraId="79F61478" w14:textId="77777777" w:rsidR="002D055E" w:rsidRPr="00120AAF" w:rsidRDefault="002D055E" w:rsidP="00226413">
            <w:pPr>
              <w:numPr>
                <w:ilvl w:val="0"/>
                <w:numId w:val="4"/>
              </w:numPr>
              <w:spacing w:before="60" w:after="60" w:line="276" w:lineRule="auto"/>
              <w:rPr>
                <w:rFonts w:ascii="Arial" w:hAnsi="Arial" w:cs="Arial"/>
                <w:b/>
                <w:sz w:val="20"/>
                <w:lang w:eastAsia="en-US"/>
              </w:rPr>
            </w:pPr>
            <w:r w:rsidRPr="00120AAF">
              <w:rPr>
                <w:rFonts w:ascii="Arial" w:hAnsi="Arial" w:cs="Arial"/>
                <w:sz w:val="20"/>
                <w:lang w:eastAsia="en-US"/>
              </w:rPr>
              <w:t xml:space="preserve">Identify when the use of Methoxyflurane is appropriate </w:t>
            </w:r>
          </w:p>
          <w:p w14:paraId="707C38AD" w14:textId="77777777" w:rsidR="002D055E" w:rsidRPr="00120AAF" w:rsidRDefault="002D055E" w:rsidP="00226413">
            <w:pPr>
              <w:numPr>
                <w:ilvl w:val="0"/>
                <w:numId w:val="4"/>
              </w:numPr>
              <w:spacing w:before="60" w:after="60" w:line="276" w:lineRule="auto"/>
              <w:rPr>
                <w:rFonts w:ascii="Arial" w:hAnsi="Arial" w:cs="Arial"/>
                <w:b/>
                <w:sz w:val="20"/>
                <w:lang w:eastAsia="en-US"/>
              </w:rPr>
            </w:pPr>
            <w:r w:rsidRPr="00120AAF">
              <w:rPr>
                <w:rFonts w:ascii="Arial" w:hAnsi="Arial" w:cs="Arial"/>
                <w:sz w:val="20"/>
                <w:lang w:eastAsia="en-US"/>
              </w:rPr>
              <w:t>Contraindications to the use of Methoxyflurane</w:t>
            </w:r>
          </w:p>
          <w:p w14:paraId="68973311" w14:textId="77777777" w:rsidR="002D055E" w:rsidRPr="00120AAF" w:rsidRDefault="002D055E" w:rsidP="00226413">
            <w:pPr>
              <w:numPr>
                <w:ilvl w:val="0"/>
                <w:numId w:val="4"/>
              </w:numPr>
              <w:spacing w:before="60" w:after="60" w:line="276" w:lineRule="auto"/>
              <w:rPr>
                <w:rFonts w:ascii="Arial" w:hAnsi="Arial" w:cs="Arial"/>
                <w:b/>
                <w:sz w:val="20"/>
                <w:lang w:eastAsia="en-US"/>
              </w:rPr>
            </w:pPr>
            <w:r w:rsidRPr="00120AAF">
              <w:rPr>
                <w:rFonts w:ascii="Arial" w:hAnsi="Arial" w:cs="Arial"/>
                <w:sz w:val="20"/>
                <w:lang w:eastAsia="en-US"/>
              </w:rPr>
              <w:t>How to administer Methoxyflurane</w:t>
            </w:r>
          </w:p>
          <w:p w14:paraId="0B8EF483" w14:textId="77777777" w:rsidR="002D055E" w:rsidRPr="00120AAF" w:rsidRDefault="002D055E" w:rsidP="00226413">
            <w:pPr>
              <w:numPr>
                <w:ilvl w:val="0"/>
                <w:numId w:val="4"/>
              </w:numPr>
              <w:spacing w:before="60" w:after="60" w:line="276" w:lineRule="auto"/>
              <w:rPr>
                <w:rFonts w:ascii="Arial" w:hAnsi="Arial" w:cs="Arial"/>
                <w:b/>
                <w:sz w:val="20"/>
                <w:lang w:eastAsia="en-US"/>
              </w:rPr>
            </w:pPr>
            <w:r w:rsidRPr="00120AAF">
              <w:rPr>
                <w:rFonts w:ascii="Arial" w:hAnsi="Arial" w:cs="Arial"/>
                <w:sz w:val="20"/>
                <w:lang w:eastAsia="en-US"/>
              </w:rPr>
              <w:t xml:space="preserve">Patient Monitoring </w:t>
            </w:r>
          </w:p>
          <w:p w14:paraId="0646F732" w14:textId="77777777" w:rsidR="002D055E" w:rsidRPr="00120AAF" w:rsidRDefault="002D055E" w:rsidP="00226413">
            <w:pPr>
              <w:numPr>
                <w:ilvl w:val="0"/>
                <w:numId w:val="4"/>
              </w:numPr>
              <w:spacing w:before="60" w:after="60" w:line="276" w:lineRule="auto"/>
              <w:rPr>
                <w:rFonts w:ascii="Arial" w:hAnsi="Arial" w:cs="Arial"/>
                <w:b/>
                <w:sz w:val="20"/>
                <w:lang w:eastAsia="en-US"/>
              </w:rPr>
            </w:pPr>
            <w:r w:rsidRPr="00120AAF">
              <w:rPr>
                <w:rFonts w:ascii="Arial" w:hAnsi="Arial" w:cs="Arial"/>
                <w:sz w:val="20"/>
                <w:lang w:eastAsia="en-US"/>
              </w:rPr>
              <w:t>Side effects</w:t>
            </w:r>
          </w:p>
          <w:p w14:paraId="6B85F614" w14:textId="77777777" w:rsidR="002D055E" w:rsidRPr="00120AAF" w:rsidRDefault="002D055E" w:rsidP="00226413">
            <w:pPr>
              <w:numPr>
                <w:ilvl w:val="0"/>
                <w:numId w:val="4"/>
              </w:numPr>
              <w:spacing w:before="60" w:after="60" w:line="276" w:lineRule="auto"/>
              <w:rPr>
                <w:rFonts w:ascii="Arial" w:hAnsi="Arial" w:cs="Arial"/>
                <w:b/>
                <w:sz w:val="20"/>
                <w:lang w:eastAsia="en-US"/>
              </w:rPr>
            </w:pPr>
            <w:r w:rsidRPr="00120AAF">
              <w:rPr>
                <w:rFonts w:ascii="Arial" w:hAnsi="Arial" w:cs="Arial"/>
                <w:sz w:val="20"/>
                <w:lang w:eastAsia="en-US"/>
              </w:rPr>
              <w:t>Disposal of used Methoxyflurane canisters</w:t>
            </w:r>
          </w:p>
          <w:p w14:paraId="0D3E50F5" w14:textId="77777777" w:rsidR="002D055E" w:rsidRPr="00120AAF" w:rsidRDefault="002D055E" w:rsidP="00226413">
            <w:pPr>
              <w:spacing w:before="60" w:after="60" w:line="276" w:lineRule="auto"/>
              <w:rPr>
                <w:rFonts w:ascii="Arial" w:hAnsi="Arial" w:cs="Arial"/>
                <w:b/>
                <w:sz w:val="20"/>
              </w:rPr>
            </w:pPr>
            <w:r w:rsidRPr="00120AAF">
              <w:rPr>
                <w:rFonts w:ascii="Arial" w:hAnsi="Arial" w:cs="Arial"/>
                <w:sz w:val="20"/>
                <w:lang w:eastAsia="en-US"/>
              </w:rPr>
              <w:t>Recording the use of Methoxyflurane for audit</w:t>
            </w:r>
          </w:p>
        </w:tc>
      </w:tr>
      <w:tr w:rsidR="00860B85" w:rsidRPr="00120AAF" w14:paraId="5FED671E" w14:textId="77777777" w:rsidTr="00860B85">
        <w:trPr>
          <w:cantSplit/>
          <w:trHeight w:val="479"/>
          <w:jc w:val="center"/>
        </w:trPr>
        <w:tc>
          <w:tcPr>
            <w:tcW w:w="2920" w:type="dxa"/>
            <w:tcBorders>
              <w:top w:val="single" w:sz="12" w:space="0" w:color="auto"/>
              <w:bottom w:val="single" w:sz="4" w:space="0" w:color="auto"/>
            </w:tcBorders>
            <w:shd w:val="clear" w:color="auto" w:fill="auto"/>
          </w:tcPr>
          <w:p w14:paraId="6B667459" w14:textId="77777777" w:rsidR="002D055E" w:rsidRPr="00DB17D7" w:rsidRDefault="002D055E" w:rsidP="00226413">
            <w:pPr>
              <w:spacing w:before="60" w:after="60" w:line="276" w:lineRule="auto"/>
              <w:rPr>
                <w:rFonts w:ascii="Arial" w:hAnsi="Arial" w:cs="Arial"/>
                <w:b/>
                <w:sz w:val="20"/>
              </w:rPr>
            </w:pPr>
            <w:r w:rsidRPr="00860B85">
              <w:rPr>
                <w:rFonts w:ascii="Arial" w:hAnsi="Arial" w:cs="Arial"/>
                <w:b/>
                <w:sz w:val="20"/>
              </w:rPr>
              <w:t>Auditing</w:t>
            </w:r>
          </w:p>
        </w:tc>
        <w:tc>
          <w:tcPr>
            <w:tcW w:w="5876" w:type="dxa"/>
            <w:tcBorders>
              <w:top w:val="single" w:sz="12" w:space="0" w:color="auto"/>
              <w:bottom w:val="single" w:sz="4" w:space="0" w:color="auto"/>
            </w:tcBorders>
            <w:shd w:val="clear" w:color="auto" w:fill="auto"/>
          </w:tcPr>
          <w:p w14:paraId="548A7D15" w14:textId="77777777" w:rsidR="002D055E" w:rsidRPr="00120AAF" w:rsidRDefault="002D055E" w:rsidP="00226413">
            <w:pPr>
              <w:spacing w:before="60" w:after="60" w:line="276" w:lineRule="auto"/>
              <w:rPr>
                <w:rFonts w:ascii="Arial" w:hAnsi="Arial" w:cs="Arial"/>
                <w:sz w:val="20"/>
              </w:rPr>
            </w:pPr>
            <w:r w:rsidRPr="000A5DB2">
              <w:rPr>
                <w:rFonts w:ascii="Arial" w:hAnsi="Arial" w:cs="Arial"/>
                <w:sz w:val="20"/>
              </w:rPr>
              <w:t xml:space="preserve">SLSNZ Medical Director audits all reported uses </w:t>
            </w:r>
            <w:r w:rsidR="00120AAF" w:rsidRPr="00120AAF">
              <w:rPr>
                <w:rFonts w:ascii="Arial" w:hAnsi="Arial" w:cs="Arial"/>
                <w:sz w:val="20"/>
              </w:rPr>
              <w:t>quarterly.</w:t>
            </w:r>
          </w:p>
        </w:tc>
      </w:tr>
      <w:tr w:rsidR="00860B85" w:rsidRPr="00120AAF" w14:paraId="2EF8624C" w14:textId="77777777" w:rsidTr="00860B85">
        <w:trPr>
          <w:cantSplit/>
          <w:trHeight w:val="564"/>
          <w:jc w:val="center"/>
        </w:trPr>
        <w:tc>
          <w:tcPr>
            <w:tcW w:w="2920" w:type="dxa"/>
            <w:tcBorders>
              <w:top w:val="single" w:sz="4" w:space="0" w:color="auto"/>
              <w:bottom w:val="single" w:sz="4" w:space="0" w:color="auto"/>
            </w:tcBorders>
            <w:shd w:val="clear" w:color="auto" w:fill="auto"/>
          </w:tcPr>
          <w:p w14:paraId="3199D798" w14:textId="77777777" w:rsidR="002D055E" w:rsidRPr="00860B85" w:rsidRDefault="002D055E" w:rsidP="00226413">
            <w:pPr>
              <w:spacing w:before="60" w:after="60" w:line="276" w:lineRule="auto"/>
              <w:rPr>
                <w:rFonts w:ascii="Arial" w:hAnsi="Arial" w:cs="Arial"/>
                <w:b/>
                <w:sz w:val="20"/>
              </w:rPr>
            </w:pPr>
            <w:r w:rsidRPr="00860B85">
              <w:rPr>
                <w:rFonts w:ascii="Arial" w:hAnsi="Arial" w:cs="Arial"/>
                <w:b/>
                <w:sz w:val="20"/>
              </w:rPr>
              <w:t>Definition of terms used in standing order</w:t>
            </w:r>
          </w:p>
        </w:tc>
        <w:tc>
          <w:tcPr>
            <w:tcW w:w="5876" w:type="dxa"/>
            <w:tcBorders>
              <w:top w:val="single" w:sz="4" w:space="0" w:color="auto"/>
              <w:bottom w:val="single" w:sz="4" w:space="0" w:color="auto"/>
            </w:tcBorders>
            <w:shd w:val="clear" w:color="auto" w:fill="FFFFFF" w:themeFill="background1"/>
          </w:tcPr>
          <w:p w14:paraId="75F0B90F" w14:textId="77777777" w:rsidR="002D055E" w:rsidRPr="00DB17D7" w:rsidRDefault="002D055E" w:rsidP="00226413">
            <w:pPr>
              <w:spacing w:before="60" w:after="60" w:line="276" w:lineRule="auto"/>
              <w:rPr>
                <w:rFonts w:ascii="Arial" w:hAnsi="Arial" w:cs="Arial"/>
                <w:sz w:val="20"/>
              </w:rPr>
            </w:pPr>
            <w:r w:rsidRPr="00DB17D7">
              <w:rPr>
                <w:rFonts w:ascii="Arial" w:hAnsi="Arial" w:cs="Arial"/>
                <w:sz w:val="20"/>
              </w:rPr>
              <w:t>NSOP: National Standard Operating Procedure</w:t>
            </w:r>
          </w:p>
        </w:tc>
      </w:tr>
      <w:tr w:rsidR="00860B85" w:rsidRPr="00120AAF" w14:paraId="1591BC87" w14:textId="77777777" w:rsidTr="00860B85">
        <w:trPr>
          <w:cantSplit/>
          <w:trHeight w:val="705"/>
          <w:jc w:val="center"/>
        </w:trPr>
        <w:tc>
          <w:tcPr>
            <w:tcW w:w="2920" w:type="dxa"/>
            <w:tcBorders>
              <w:top w:val="single" w:sz="4" w:space="0" w:color="auto"/>
              <w:bottom w:val="single" w:sz="4" w:space="0" w:color="auto"/>
            </w:tcBorders>
            <w:shd w:val="clear" w:color="auto" w:fill="auto"/>
          </w:tcPr>
          <w:p w14:paraId="09DFBC2E" w14:textId="77777777" w:rsidR="002D055E" w:rsidRPr="00860B85" w:rsidRDefault="002D055E" w:rsidP="00226413">
            <w:pPr>
              <w:spacing w:before="60" w:after="60" w:line="276" w:lineRule="auto"/>
              <w:rPr>
                <w:rFonts w:ascii="Arial" w:hAnsi="Arial" w:cs="Arial"/>
                <w:b/>
                <w:sz w:val="20"/>
              </w:rPr>
            </w:pPr>
            <w:r w:rsidRPr="00860B85">
              <w:rPr>
                <w:rFonts w:ascii="Arial" w:hAnsi="Arial" w:cs="Arial"/>
                <w:b/>
                <w:sz w:val="20"/>
              </w:rPr>
              <w:t>Additional information</w:t>
            </w:r>
          </w:p>
        </w:tc>
        <w:tc>
          <w:tcPr>
            <w:tcW w:w="5876" w:type="dxa"/>
            <w:tcBorders>
              <w:top w:val="single" w:sz="4" w:space="0" w:color="auto"/>
              <w:bottom w:val="single" w:sz="4" w:space="0" w:color="auto"/>
            </w:tcBorders>
            <w:shd w:val="clear" w:color="auto" w:fill="auto"/>
          </w:tcPr>
          <w:p w14:paraId="0A530CF8" w14:textId="77777777" w:rsidR="002D055E" w:rsidRPr="000A5DB2" w:rsidRDefault="002D055E" w:rsidP="00226413">
            <w:pPr>
              <w:spacing w:before="60" w:after="60" w:line="276" w:lineRule="auto"/>
              <w:rPr>
                <w:rFonts w:ascii="Arial" w:hAnsi="Arial" w:cs="Arial"/>
                <w:sz w:val="20"/>
              </w:rPr>
            </w:pPr>
            <w:r w:rsidRPr="000A5DB2">
              <w:rPr>
                <w:rFonts w:ascii="Arial" w:hAnsi="Arial" w:cs="Arial"/>
                <w:sz w:val="20"/>
              </w:rPr>
              <w:t>SLSNZ Policy – Use Of Methoxyflurane</w:t>
            </w:r>
          </w:p>
          <w:p w14:paraId="2F253F0A" w14:textId="77777777" w:rsidR="002D055E" w:rsidRPr="00120AAF" w:rsidRDefault="002D055E" w:rsidP="00226413">
            <w:pPr>
              <w:spacing w:before="60" w:after="60" w:line="276" w:lineRule="auto"/>
              <w:rPr>
                <w:rFonts w:ascii="Arial" w:hAnsi="Arial" w:cs="Arial"/>
                <w:sz w:val="20"/>
              </w:rPr>
            </w:pPr>
            <w:r w:rsidRPr="00120AAF">
              <w:rPr>
                <w:rFonts w:ascii="Arial" w:hAnsi="Arial" w:cs="Arial"/>
                <w:sz w:val="20"/>
              </w:rPr>
              <w:t>SLSNZ NSOP – Methoxyflurane</w:t>
            </w:r>
          </w:p>
          <w:p w14:paraId="42F03E45" w14:textId="77777777" w:rsidR="002D055E" w:rsidRPr="00120AAF" w:rsidRDefault="002D055E" w:rsidP="00226413">
            <w:pPr>
              <w:spacing w:before="60" w:after="60" w:line="276" w:lineRule="auto"/>
              <w:rPr>
                <w:rFonts w:ascii="Arial" w:hAnsi="Arial" w:cs="Arial"/>
                <w:sz w:val="20"/>
              </w:rPr>
            </w:pPr>
            <w:r w:rsidRPr="00120AAF">
              <w:rPr>
                <w:rFonts w:ascii="Arial" w:hAnsi="Arial" w:cs="Arial"/>
                <w:sz w:val="20"/>
              </w:rPr>
              <w:t>SLSNZ Pain Relief Report Form</w:t>
            </w:r>
          </w:p>
        </w:tc>
      </w:tr>
    </w:tbl>
    <w:p w14:paraId="12FA4A42" w14:textId="77777777" w:rsidR="00860B85" w:rsidRDefault="00860B85" w:rsidP="00226413"/>
    <w:p w14:paraId="26FF76D5" w14:textId="77777777" w:rsidR="00860B85" w:rsidRDefault="00860B85" w:rsidP="00226413"/>
    <w:p w14:paraId="317E8D57" w14:textId="77777777" w:rsidR="00860B85" w:rsidRDefault="00860B85" w:rsidP="00226413"/>
    <w:p w14:paraId="5F0112C7" w14:textId="77777777" w:rsidR="00860B85" w:rsidRDefault="00860B85" w:rsidP="00226413"/>
    <w:p w14:paraId="473A43C5" w14:textId="77777777" w:rsidR="00860B85" w:rsidRDefault="00860B85" w:rsidP="00226413"/>
    <w:p w14:paraId="2146B07D" w14:textId="77777777" w:rsidR="00860B85" w:rsidRPr="00226413" w:rsidRDefault="00860B85" w:rsidP="00860B85">
      <w:pPr>
        <w:rPr>
          <w:rFonts w:ascii="Arial" w:hAnsi="Arial" w:cs="Arial"/>
          <w:sz w:val="20"/>
        </w:rPr>
      </w:pPr>
      <w:r w:rsidRPr="00226413">
        <w:rPr>
          <w:rFonts w:ascii="Arial" w:hAnsi="Arial" w:cs="Arial"/>
          <w:sz w:val="20"/>
        </w:rPr>
        <w:t>Dr Gary Payinda</w:t>
      </w:r>
    </w:p>
    <w:p w14:paraId="2FED6FAC" w14:textId="77777777" w:rsidR="00860B85" w:rsidRPr="00226413" w:rsidRDefault="00860B85" w:rsidP="00860B85">
      <w:pPr>
        <w:rPr>
          <w:rFonts w:ascii="Arial" w:hAnsi="Arial" w:cs="Arial"/>
          <w:sz w:val="20"/>
        </w:rPr>
      </w:pPr>
      <w:r w:rsidRPr="00226413">
        <w:rPr>
          <w:rFonts w:ascii="Arial" w:hAnsi="Arial" w:cs="Arial"/>
          <w:sz w:val="20"/>
        </w:rPr>
        <w:t>Medical Director</w:t>
      </w:r>
    </w:p>
    <w:p w14:paraId="42E1DF2B" w14:textId="77777777" w:rsidR="00860B85" w:rsidRPr="00226413" w:rsidRDefault="00860B85" w:rsidP="00860B85">
      <w:pPr>
        <w:rPr>
          <w:rFonts w:ascii="Arial" w:hAnsi="Arial" w:cs="Arial"/>
          <w:sz w:val="20"/>
        </w:rPr>
      </w:pPr>
      <w:r w:rsidRPr="00226413">
        <w:rPr>
          <w:rFonts w:ascii="Arial" w:hAnsi="Arial" w:cs="Arial"/>
          <w:sz w:val="20"/>
        </w:rPr>
        <w:t>Surf Life Saving New Zealand</w:t>
      </w:r>
    </w:p>
    <w:p w14:paraId="6E3B4B9C" w14:textId="77777777" w:rsidR="00860B85" w:rsidRPr="00226413" w:rsidRDefault="00860B85" w:rsidP="00860B85">
      <w:pPr>
        <w:rPr>
          <w:rFonts w:ascii="Arial" w:hAnsi="Arial" w:cs="Arial"/>
          <w:sz w:val="20"/>
        </w:rPr>
      </w:pPr>
    </w:p>
    <w:p w14:paraId="73D09B73" w14:textId="77777777" w:rsidR="00860B85" w:rsidRPr="00226413" w:rsidRDefault="00860B85" w:rsidP="00860B85">
      <w:pPr>
        <w:rPr>
          <w:rFonts w:ascii="Arial" w:hAnsi="Arial" w:cs="Arial"/>
          <w:sz w:val="20"/>
        </w:rPr>
      </w:pPr>
      <w:proofErr w:type="gramStart"/>
      <w:r w:rsidRPr="00226413">
        <w:rPr>
          <w:rFonts w:ascii="Arial" w:hAnsi="Arial" w:cs="Arial"/>
          <w:sz w:val="20"/>
        </w:rPr>
        <w:t>m</w:t>
      </w:r>
      <w:proofErr w:type="gramEnd"/>
      <w:r w:rsidRPr="00226413">
        <w:rPr>
          <w:rFonts w:ascii="Arial" w:hAnsi="Arial" w:cs="Arial"/>
          <w:sz w:val="20"/>
        </w:rPr>
        <w:tab/>
        <w:t>021 562 241</w:t>
      </w:r>
    </w:p>
    <w:p w14:paraId="24E88DAE" w14:textId="77777777" w:rsidR="00860B85" w:rsidRDefault="00860B85" w:rsidP="00226413">
      <w:proofErr w:type="gramStart"/>
      <w:r w:rsidRPr="00226413">
        <w:rPr>
          <w:rFonts w:ascii="Arial" w:hAnsi="Arial" w:cs="Arial"/>
          <w:sz w:val="20"/>
        </w:rPr>
        <w:t>e</w:t>
      </w:r>
      <w:proofErr w:type="gramEnd"/>
      <w:r w:rsidRPr="00226413">
        <w:rPr>
          <w:rFonts w:ascii="Arial" w:hAnsi="Arial" w:cs="Arial"/>
          <w:sz w:val="20"/>
        </w:rPr>
        <w:tab/>
      </w:r>
      <w:hyperlink r:id="rId11" w:history="1">
        <w:r w:rsidRPr="00226413">
          <w:rPr>
            <w:rStyle w:val="Hyperlink"/>
            <w:rFonts w:cs="Arial"/>
            <w:sz w:val="20"/>
          </w:rPr>
          <w:t>Gar</w:t>
        </w:r>
        <w:r w:rsidRPr="00226413">
          <w:rPr>
            <w:rStyle w:val="Hyperlink"/>
          </w:rPr>
          <w:t>y.payinda@surflifesaving.org.nz</w:t>
        </w:r>
      </w:hyperlink>
      <w:r w:rsidRPr="00DB17D7">
        <w:rPr>
          <w:rFonts w:ascii="Arial" w:hAnsi="Arial" w:cs="Arial"/>
          <w:sz w:val="20"/>
        </w:rPr>
        <w:t xml:space="preserve"> </w:t>
      </w:r>
    </w:p>
    <w:p w14:paraId="08900C47" w14:textId="77777777" w:rsidR="00860B85" w:rsidRDefault="00860B85" w:rsidP="00226413"/>
    <w:tbl>
      <w:tblPr>
        <w:tblW w:w="10466" w:type="dxa"/>
        <w:tblBorders>
          <w:top w:val="nil"/>
          <w:left w:val="nil"/>
          <w:bottom w:val="nil"/>
          <w:right w:val="nil"/>
          <w:insideH w:val="nil"/>
          <w:insideV w:val="nil"/>
        </w:tblBorders>
        <w:tblLayout w:type="fixed"/>
        <w:tblLook w:val="0400" w:firstRow="0" w:lastRow="0" w:firstColumn="0" w:lastColumn="0" w:noHBand="0" w:noVBand="1"/>
      </w:tblPr>
      <w:tblGrid>
        <w:gridCol w:w="2345"/>
        <w:gridCol w:w="2997"/>
        <w:gridCol w:w="2566"/>
        <w:gridCol w:w="2558"/>
      </w:tblGrid>
      <w:tr w:rsidR="002D055E" w:rsidRPr="00120AAF" w14:paraId="5DB01A61" w14:textId="77777777" w:rsidTr="00226413">
        <w:tc>
          <w:tcPr>
            <w:tcW w:w="2345" w:type="dxa"/>
            <w:tcBorders>
              <w:top w:val="single" w:sz="4" w:space="0" w:color="auto"/>
              <w:right w:val="single" w:sz="4" w:space="0" w:color="000000"/>
            </w:tcBorders>
          </w:tcPr>
          <w:p w14:paraId="712EBBB1" w14:textId="77777777" w:rsidR="002D055E" w:rsidRPr="00DB17D7" w:rsidRDefault="002D055E" w:rsidP="0094379D">
            <w:pPr>
              <w:pBdr>
                <w:top w:val="nil"/>
                <w:left w:val="nil"/>
                <w:bottom w:val="nil"/>
                <w:right w:val="nil"/>
                <w:between w:val="nil"/>
              </w:pBdr>
              <w:spacing w:before="60" w:after="60" w:line="276" w:lineRule="auto"/>
              <w:rPr>
                <w:rFonts w:ascii="Arial" w:hAnsi="Arial" w:cs="Arial"/>
                <w:b/>
                <w:color w:val="000000"/>
                <w:sz w:val="20"/>
              </w:rPr>
            </w:pPr>
            <w:r w:rsidRPr="00860B85">
              <w:rPr>
                <w:rFonts w:ascii="Arial" w:hAnsi="Arial" w:cs="Arial"/>
                <w:b/>
                <w:color w:val="000000"/>
                <w:sz w:val="20"/>
              </w:rPr>
              <w:t>Owner</w:t>
            </w:r>
          </w:p>
        </w:tc>
        <w:tc>
          <w:tcPr>
            <w:tcW w:w="2997" w:type="dxa"/>
            <w:tcBorders>
              <w:top w:val="single" w:sz="4" w:space="0" w:color="auto"/>
              <w:left w:val="single" w:sz="4" w:space="0" w:color="000000"/>
            </w:tcBorders>
          </w:tcPr>
          <w:p w14:paraId="28E35C1B" w14:textId="77777777" w:rsidR="002D055E" w:rsidRPr="000A5DB2" w:rsidRDefault="002D055E" w:rsidP="0094379D">
            <w:pPr>
              <w:pBdr>
                <w:top w:val="nil"/>
                <w:left w:val="nil"/>
                <w:bottom w:val="nil"/>
                <w:right w:val="nil"/>
                <w:between w:val="nil"/>
              </w:pBdr>
              <w:spacing w:before="60" w:after="60" w:line="276" w:lineRule="auto"/>
              <w:rPr>
                <w:rFonts w:ascii="Arial" w:hAnsi="Arial" w:cs="Arial"/>
                <w:color w:val="000000"/>
                <w:sz w:val="20"/>
              </w:rPr>
            </w:pPr>
            <w:r w:rsidRPr="000A5DB2">
              <w:rPr>
                <w:rFonts w:ascii="Arial" w:hAnsi="Arial" w:cs="Arial"/>
                <w:color w:val="FF0000"/>
                <w:sz w:val="20"/>
              </w:rPr>
              <w:t>SLSNZ Medical Director</w:t>
            </w:r>
          </w:p>
        </w:tc>
        <w:tc>
          <w:tcPr>
            <w:tcW w:w="2566" w:type="dxa"/>
            <w:tcBorders>
              <w:top w:val="single" w:sz="4" w:space="0" w:color="auto"/>
              <w:right w:val="single" w:sz="4" w:space="0" w:color="000000"/>
            </w:tcBorders>
          </w:tcPr>
          <w:p w14:paraId="35513361" w14:textId="77777777" w:rsidR="002D055E" w:rsidRPr="00120AAF" w:rsidRDefault="002D055E" w:rsidP="0094379D">
            <w:pPr>
              <w:pBdr>
                <w:top w:val="nil"/>
                <w:left w:val="nil"/>
                <w:bottom w:val="nil"/>
                <w:right w:val="nil"/>
                <w:between w:val="nil"/>
              </w:pBdr>
              <w:spacing w:before="60" w:after="60" w:line="276" w:lineRule="auto"/>
              <w:rPr>
                <w:rFonts w:ascii="Arial" w:hAnsi="Arial" w:cs="Arial"/>
                <w:b/>
                <w:color w:val="000000"/>
                <w:sz w:val="20"/>
              </w:rPr>
            </w:pPr>
            <w:r w:rsidRPr="00120AAF">
              <w:rPr>
                <w:rFonts w:ascii="Arial" w:hAnsi="Arial" w:cs="Arial"/>
                <w:b/>
                <w:color w:val="000000"/>
                <w:sz w:val="20"/>
              </w:rPr>
              <w:t>Date issued</w:t>
            </w:r>
          </w:p>
        </w:tc>
        <w:tc>
          <w:tcPr>
            <w:tcW w:w="2558" w:type="dxa"/>
            <w:tcBorders>
              <w:top w:val="single" w:sz="4" w:space="0" w:color="auto"/>
              <w:left w:val="single" w:sz="4" w:space="0" w:color="000000"/>
            </w:tcBorders>
          </w:tcPr>
          <w:p w14:paraId="072CD33A" w14:textId="32B1EA9A" w:rsidR="002D055E" w:rsidRPr="00120AAF" w:rsidRDefault="00230A56" w:rsidP="0094379D">
            <w:pPr>
              <w:pBdr>
                <w:top w:val="nil"/>
                <w:left w:val="nil"/>
                <w:bottom w:val="nil"/>
                <w:right w:val="nil"/>
                <w:between w:val="nil"/>
              </w:pBdr>
              <w:spacing w:before="60" w:after="60" w:line="276" w:lineRule="auto"/>
              <w:rPr>
                <w:rFonts w:ascii="Arial" w:hAnsi="Arial" w:cs="Arial"/>
                <w:color w:val="000000"/>
                <w:sz w:val="20"/>
              </w:rPr>
            </w:pPr>
            <w:r>
              <w:rPr>
                <w:rFonts w:ascii="Arial" w:hAnsi="Arial" w:cs="Arial"/>
                <w:color w:val="FF0000"/>
                <w:sz w:val="20"/>
              </w:rPr>
              <w:t>May</w:t>
            </w:r>
            <w:r w:rsidR="002D055E" w:rsidRPr="00120AAF">
              <w:rPr>
                <w:rFonts w:ascii="Arial" w:hAnsi="Arial" w:cs="Arial"/>
                <w:color w:val="FF0000"/>
                <w:sz w:val="20"/>
              </w:rPr>
              <w:t xml:space="preserve"> 2023</w:t>
            </w:r>
          </w:p>
        </w:tc>
      </w:tr>
      <w:tr w:rsidR="002D055E" w:rsidRPr="00120AAF" w14:paraId="4611408E" w14:textId="77777777" w:rsidTr="0094379D">
        <w:tc>
          <w:tcPr>
            <w:tcW w:w="2345" w:type="dxa"/>
            <w:tcBorders>
              <w:right w:val="single" w:sz="4" w:space="0" w:color="000000"/>
            </w:tcBorders>
          </w:tcPr>
          <w:p w14:paraId="47F0F1ED" w14:textId="77777777" w:rsidR="002D055E" w:rsidRPr="00860B85" w:rsidRDefault="002D055E" w:rsidP="0094379D">
            <w:pPr>
              <w:pBdr>
                <w:top w:val="nil"/>
                <w:left w:val="nil"/>
                <w:bottom w:val="nil"/>
                <w:right w:val="nil"/>
                <w:between w:val="nil"/>
              </w:pBdr>
              <w:spacing w:before="60" w:after="60" w:line="276" w:lineRule="auto"/>
              <w:rPr>
                <w:rFonts w:ascii="Arial" w:hAnsi="Arial" w:cs="Arial"/>
                <w:b/>
                <w:color w:val="000000"/>
                <w:sz w:val="20"/>
              </w:rPr>
            </w:pPr>
            <w:r w:rsidRPr="00860B85">
              <w:rPr>
                <w:rFonts w:ascii="Arial" w:hAnsi="Arial" w:cs="Arial"/>
                <w:b/>
                <w:color w:val="000000"/>
                <w:sz w:val="20"/>
              </w:rPr>
              <w:t>Content Manager</w:t>
            </w:r>
          </w:p>
        </w:tc>
        <w:tc>
          <w:tcPr>
            <w:tcW w:w="2997" w:type="dxa"/>
            <w:tcBorders>
              <w:left w:val="single" w:sz="4" w:space="0" w:color="000000"/>
            </w:tcBorders>
          </w:tcPr>
          <w:p w14:paraId="017DE027" w14:textId="3E5AFE9B" w:rsidR="002D055E" w:rsidRPr="00DB17D7" w:rsidRDefault="002D055E" w:rsidP="0094379D">
            <w:pPr>
              <w:pBdr>
                <w:top w:val="nil"/>
                <w:left w:val="nil"/>
                <w:bottom w:val="nil"/>
                <w:right w:val="nil"/>
                <w:between w:val="nil"/>
              </w:pBdr>
              <w:spacing w:before="60" w:after="60" w:line="276" w:lineRule="auto"/>
              <w:rPr>
                <w:rFonts w:ascii="Arial" w:hAnsi="Arial" w:cs="Arial"/>
                <w:color w:val="000000"/>
                <w:sz w:val="20"/>
              </w:rPr>
            </w:pPr>
            <w:r w:rsidRPr="00DB17D7">
              <w:rPr>
                <w:rFonts w:ascii="Arial" w:hAnsi="Arial" w:cs="Arial"/>
                <w:color w:val="FF0000"/>
                <w:sz w:val="20"/>
              </w:rPr>
              <w:t xml:space="preserve">National Lifesaving </w:t>
            </w:r>
            <w:r w:rsidR="00230A56">
              <w:rPr>
                <w:rFonts w:ascii="Arial" w:hAnsi="Arial" w:cs="Arial"/>
                <w:color w:val="FF0000"/>
                <w:sz w:val="20"/>
              </w:rPr>
              <w:t>Development Officer</w:t>
            </w:r>
          </w:p>
        </w:tc>
        <w:tc>
          <w:tcPr>
            <w:tcW w:w="2566" w:type="dxa"/>
            <w:tcBorders>
              <w:right w:val="single" w:sz="4" w:space="0" w:color="000000"/>
            </w:tcBorders>
          </w:tcPr>
          <w:p w14:paraId="550CDD7B" w14:textId="77777777" w:rsidR="002D055E" w:rsidRPr="000A5DB2" w:rsidRDefault="002D055E" w:rsidP="0094379D">
            <w:pPr>
              <w:pBdr>
                <w:top w:val="nil"/>
                <w:left w:val="nil"/>
                <w:bottom w:val="nil"/>
                <w:right w:val="nil"/>
                <w:between w:val="nil"/>
              </w:pBdr>
              <w:spacing w:before="60" w:after="60" w:line="276" w:lineRule="auto"/>
              <w:rPr>
                <w:rFonts w:ascii="Arial" w:hAnsi="Arial" w:cs="Arial"/>
                <w:b/>
                <w:color w:val="000000"/>
                <w:sz w:val="20"/>
              </w:rPr>
            </w:pPr>
            <w:r w:rsidRPr="000A5DB2">
              <w:rPr>
                <w:rFonts w:ascii="Arial" w:hAnsi="Arial" w:cs="Arial"/>
                <w:b/>
                <w:color w:val="000000"/>
                <w:sz w:val="20"/>
              </w:rPr>
              <w:t>Revision date</w:t>
            </w:r>
          </w:p>
        </w:tc>
        <w:tc>
          <w:tcPr>
            <w:tcW w:w="2558" w:type="dxa"/>
            <w:tcBorders>
              <w:left w:val="single" w:sz="4" w:space="0" w:color="000000"/>
            </w:tcBorders>
          </w:tcPr>
          <w:p w14:paraId="6999A30E" w14:textId="79CB4A83" w:rsidR="002D055E" w:rsidRPr="00120AAF" w:rsidRDefault="00230A56" w:rsidP="0094379D">
            <w:pPr>
              <w:pBdr>
                <w:top w:val="nil"/>
                <w:left w:val="nil"/>
                <w:bottom w:val="nil"/>
                <w:right w:val="nil"/>
                <w:between w:val="nil"/>
              </w:pBdr>
              <w:spacing w:before="60" w:after="60" w:line="276" w:lineRule="auto"/>
              <w:rPr>
                <w:rFonts w:ascii="Arial" w:hAnsi="Arial" w:cs="Arial"/>
                <w:color w:val="000000"/>
                <w:sz w:val="20"/>
              </w:rPr>
            </w:pPr>
            <w:r>
              <w:rPr>
                <w:rFonts w:ascii="Arial" w:hAnsi="Arial" w:cs="Arial"/>
                <w:color w:val="FF0000"/>
                <w:sz w:val="20"/>
              </w:rPr>
              <w:t>May</w:t>
            </w:r>
            <w:r w:rsidR="002D055E" w:rsidRPr="00120AAF">
              <w:rPr>
                <w:rFonts w:ascii="Arial" w:hAnsi="Arial" w:cs="Arial"/>
                <w:color w:val="FF0000"/>
                <w:sz w:val="20"/>
              </w:rPr>
              <w:t xml:space="preserve"> 2025</w:t>
            </w:r>
          </w:p>
        </w:tc>
      </w:tr>
      <w:tr w:rsidR="002D055E" w:rsidRPr="00120AAF" w14:paraId="6AC2BF28" w14:textId="77777777" w:rsidTr="00226413">
        <w:tc>
          <w:tcPr>
            <w:tcW w:w="2345" w:type="dxa"/>
            <w:tcBorders>
              <w:bottom w:val="single" w:sz="4" w:space="0" w:color="auto"/>
              <w:right w:val="single" w:sz="4" w:space="0" w:color="000000"/>
            </w:tcBorders>
          </w:tcPr>
          <w:p w14:paraId="1EE653B7" w14:textId="77777777" w:rsidR="002D055E" w:rsidRPr="00860B85" w:rsidRDefault="002D055E" w:rsidP="0094379D">
            <w:pPr>
              <w:pBdr>
                <w:top w:val="nil"/>
                <w:left w:val="nil"/>
                <w:bottom w:val="nil"/>
                <w:right w:val="nil"/>
                <w:between w:val="nil"/>
              </w:pBdr>
              <w:spacing w:before="60" w:after="60" w:line="276" w:lineRule="auto"/>
              <w:rPr>
                <w:rFonts w:ascii="Arial" w:hAnsi="Arial" w:cs="Arial"/>
                <w:b/>
                <w:color w:val="000000"/>
                <w:sz w:val="20"/>
              </w:rPr>
            </w:pPr>
            <w:r w:rsidRPr="00860B85">
              <w:rPr>
                <w:rFonts w:ascii="Arial" w:hAnsi="Arial" w:cs="Arial"/>
                <w:b/>
                <w:color w:val="000000"/>
                <w:sz w:val="20"/>
              </w:rPr>
              <w:t>Approved By</w:t>
            </w:r>
          </w:p>
        </w:tc>
        <w:tc>
          <w:tcPr>
            <w:tcW w:w="2997" w:type="dxa"/>
            <w:tcBorders>
              <w:left w:val="single" w:sz="4" w:space="0" w:color="000000"/>
              <w:bottom w:val="single" w:sz="4" w:space="0" w:color="auto"/>
            </w:tcBorders>
          </w:tcPr>
          <w:p w14:paraId="05265BF1" w14:textId="77777777" w:rsidR="002D055E" w:rsidRPr="00DB17D7" w:rsidRDefault="002D055E" w:rsidP="0094379D">
            <w:pPr>
              <w:pBdr>
                <w:top w:val="nil"/>
                <w:left w:val="nil"/>
                <w:bottom w:val="nil"/>
                <w:right w:val="nil"/>
                <w:between w:val="nil"/>
              </w:pBdr>
              <w:spacing w:before="60" w:after="60" w:line="276" w:lineRule="auto"/>
              <w:rPr>
                <w:rFonts w:ascii="Arial" w:hAnsi="Arial" w:cs="Arial"/>
                <w:color w:val="000000"/>
                <w:sz w:val="20"/>
              </w:rPr>
            </w:pPr>
            <w:r w:rsidRPr="00DB17D7">
              <w:rPr>
                <w:rFonts w:ascii="Arial" w:hAnsi="Arial" w:cs="Arial"/>
                <w:color w:val="FF0000"/>
                <w:sz w:val="20"/>
              </w:rPr>
              <w:t>SLSNZ Medical Director</w:t>
            </w:r>
          </w:p>
        </w:tc>
        <w:tc>
          <w:tcPr>
            <w:tcW w:w="2566" w:type="dxa"/>
            <w:tcBorders>
              <w:bottom w:val="single" w:sz="4" w:space="0" w:color="auto"/>
            </w:tcBorders>
          </w:tcPr>
          <w:p w14:paraId="2BA1D277" w14:textId="77777777" w:rsidR="002D055E" w:rsidRPr="000A5DB2" w:rsidRDefault="002D055E" w:rsidP="0094379D">
            <w:pPr>
              <w:pBdr>
                <w:top w:val="nil"/>
                <w:left w:val="nil"/>
                <w:bottom w:val="nil"/>
                <w:right w:val="nil"/>
                <w:between w:val="nil"/>
              </w:pBdr>
              <w:spacing w:before="60" w:after="60" w:line="276" w:lineRule="auto"/>
              <w:rPr>
                <w:rFonts w:ascii="Arial" w:hAnsi="Arial" w:cs="Arial"/>
                <w:color w:val="000000"/>
                <w:sz w:val="20"/>
              </w:rPr>
            </w:pPr>
          </w:p>
        </w:tc>
        <w:tc>
          <w:tcPr>
            <w:tcW w:w="2558" w:type="dxa"/>
            <w:tcBorders>
              <w:bottom w:val="single" w:sz="4" w:space="0" w:color="auto"/>
            </w:tcBorders>
          </w:tcPr>
          <w:p w14:paraId="7A13F59F" w14:textId="77777777" w:rsidR="002D055E" w:rsidRPr="00120AAF" w:rsidRDefault="002D055E" w:rsidP="0094379D">
            <w:pPr>
              <w:pBdr>
                <w:top w:val="nil"/>
                <w:left w:val="nil"/>
                <w:bottom w:val="nil"/>
                <w:right w:val="nil"/>
                <w:between w:val="nil"/>
              </w:pBdr>
              <w:spacing w:before="60" w:after="60" w:line="276" w:lineRule="auto"/>
              <w:rPr>
                <w:rFonts w:ascii="Arial" w:hAnsi="Arial" w:cs="Arial"/>
                <w:color w:val="000000"/>
                <w:sz w:val="20"/>
              </w:rPr>
            </w:pPr>
          </w:p>
        </w:tc>
      </w:tr>
      <w:bookmarkEnd w:id="0"/>
    </w:tbl>
    <w:p w14:paraId="4C2C5F09" w14:textId="77777777" w:rsidR="00562F45" w:rsidRPr="00226413" w:rsidRDefault="00562F45" w:rsidP="00226413">
      <w:pPr>
        <w:pStyle w:val="Note"/>
        <w:pBdr>
          <w:bottom w:val="none" w:sz="0" w:space="0" w:color="auto"/>
        </w:pBdr>
        <w:rPr>
          <w:rFonts w:cs="Arial"/>
          <w:sz w:val="20"/>
        </w:rPr>
      </w:pPr>
    </w:p>
    <w:sectPr w:rsidR="00562F45" w:rsidRPr="00226413" w:rsidSect="00226413">
      <w:headerReference w:type="default" r:id="rId12"/>
      <w:footerReference w:type="default" r:id="rId13"/>
      <w:headerReference w:type="first" r:id="rId14"/>
      <w:pgSz w:w="11906" w:h="16838"/>
      <w:pgMar w:top="720" w:right="720" w:bottom="720" w:left="720" w:header="567" w:footer="5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57541" w14:textId="77777777" w:rsidR="00AE1D56" w:rsidRDefault="00AE1D56" w:rsidP="00AF4772">
      <w:pPr>
        <w:spacing w:line="240" w:lineRule="auto"/>
      </w:pPr>
      <w:r>
        <w:separator/>
      </w:r>
    </w:p>
  </w:endnote>
  <w:endnote w:type="continuationSeparator" w:id="0">
    <w:p w14:paraId="232DC3AC" w14:textId="77777777" w:rsidR="00AE1D56" w:rsidRDefault="00AE1D56" w:rsidP="00AF4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88544382"/>
      <w:docPartObj>
        <w:docPartGallery w:val="Page Numbers (Bottom of Page)"/>
        <w:docPartUnique/>
      </w:docPartObj>
    </w:sdtPr>
    <w:sdtEndPr>
      <w:rPr>
        <w:noProof/>
      </w:rPr>
    </w:sdtEndPr>
    <w:sdtContent>
      <w:p w14:paraId="5A5E06C9" w14:textId="0EE0EA67" w:rsidR="00AF4772" w:rsidRPr="00226413" w:rsidRDefault="002D055E" w:rsidP="00226413">
        <w:pPr>
          <w:pStyle w:val="Footer"/>
          <w:jc w:val="right"/>
          <w:rPr>
            <w:rFonts w:ascii="Arial" w:hAnsi="Arial" w:cs="Arial"/>
            <w:sz w:val="20"/>
          </w:rPr>
        </w:pPr>
        <w:r w:rsidRPr="00226413">
          <w:rPr>
            <w:rFonts w:ascii="Arial" w:hAnsi="Arial" w:cs="Arial"/>
            <w:sz w:val="20"/>
          </w:rPr>
          <w:t xml:space="preserve">Page </w:t>
        </w:r>
        <w:r w:rsidRPr="00226413">
          <w:rPr>
            <w:rFonts w:ascii="Arial" w:hAnsi="Arial" w:cs="Arial"/>
            <w:sz w:val="20"/>
          </w:rPr>
          <w:fldChar w:fldCharType="begin"/>
        </w:r>
        <w:r w:rsidRPr="00226413">
          <w:rPr>
            <w:rFonts w:ascii="Arial" w:hAnsi="Arial" w:cs="Arial"/>
            <w:sz w:val="20"/>
          </w:rPr>
          <w:instrText xml:space="preserve"> PAGE   \* MERGEFORMAT </w:instrText>
        </w:r>
        <w:r w:rsidRPr="00226413">
          <w:rPr>
            <w:rFonts w:ascii="Arial" w:hAnsi="Arial" w:cs="Arial"/>
            <w:sz w:val="20"/>
          </w:rPr>
          <w:fldChar w:fldCharType="separate"/>
        </w:r>
        <w:r w:rsidR="002170D8">
          <w:rPr>
            <w:rFonts w:ascii="Arial" w:hAnsi="Arial" w:cs="Arial"/>
            <w:noProof/>
            <w:sz w:val="20"/>
          </w:rPr>
          <w:t>2</w:t>
        </w:r>
        <w:r w:rsidRPr="00226413">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E2129" w14:textId="77777777" w:rsidR="00AE1D56" w:rsidRDefault="00AE1D56" w:rsidP="00AF4772">
      <w:pPr>
        <w:spacing w:line="240" w:lineRule="auto"/>
      </w:pPr>
      <w:r>
        <w:separator/>
      </w:r>
    </w:p>
  </w:footnote>
  <w:footnote w:type="continuationSeparator" w:id="0">
    <w:p w14:paraId="4F59CD9D" w14:textId="77777777" w:rsidR="00AE1D56" w:rsidRDefault="00AE1D56" w:rsidP="00AF47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84D6" w14:textId="77777777" w:rsidR="00AF4772" w:rsidRDefault="00AF4772" w:rsidP="002D055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8373"/>
    </w:tblGrid>
    <w:tr w:rsidR="002D055E" w:rsidRPr="002D055E" w14:paraId="3C3D2E1A" w14:textId="77777777" w:rsidTr="00226413">
      <w:tc>
        <w:tcPr>
          <w:tcW w:w="1000" w:type="pct"/>
          <w:tcBorders>
            <w:top w:val="single" w:sz="4" w:space="0" w:color="auto"/>
            <w:bottom w:val="single" w:sz="4" w:space="0" w:color="auto"/>
          </w:tcBorders>
          <w:vAlign w:val="center"/>
        </w:tcPr>
        <w:p w14:paraId="32DD7777" w14:textId="20B298B8" w:rsidR="002D055E" w:rsidRPr="00860B85" w:rsidRDefault="007E637F" w:rsidP="00226413">
          <w:pPr>
            <w:spacing w:before="80" w:after="80"/>
            <w:rPr>
              <w:rFonts w:ascii="Arial" w:hAnsi="Arial" w:cs="Arial"/>
              <w:b/>
              <w:sz w:val="32"/>
              <w:szCs w:val="32"/>
            </w:rPr>
          </w:pPr>
          <w:r w:rsidRPr="00226413">
            <w:rPr>
              <w:rFonts w:ascii="Arial" w:hAnsi="Arial" w:cs="Arial"/>
              <w:noProof/>
              <w:sz w:val="32"/>
              <w:szCs w:val="32"/>
              <w:lang w:eastAsia="en-NZ"/>
            </w:rPr>
            <w:drawing>
              <wp:anchor distT="0" distB="0" distL="114300" distR="114300" simplePos="0" relativeHeight="251657216" behindDoc="0" locked="0" layoutInCell="1" allowOverlap="1" wp14:anchorId="17372ACE" wp14:editId="632D56BE">
                <wp:simplePos x="0" y="0"/>
                <wp:positionH relativeFrom="column">
                  <wp:posOffset>-274320</wp:posOffset>
                </wp:positionH>
                <wp:positionV relativeFrom="paragraph">
                  <wp:posOffset>-6350</wp:posOffset>
                </wp:positionV>
                <wp:extent cx="2303780" cy="612140"/>
                <wp:effectExtent l="0" t="0" r="1270" b="0"/>
                <wp:wrapNone/>
                <wp:docPr id="8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303780" cy="612140"/>
                        </a:xfrm>
                        <a:prstGeom prst="rect">
                          <a:avLst/>
                        </a:prstGeom>
                        <a:ln/>
                      </pic:spPr>
                    </pic:pic>
                  </a:graphicData>
                </a:graphic>
                <wp14:sizeRelH relativeFrom="page">
                  <wp14:pctWidth>0</wp14:pctWidth>
                </wp14:sizeRelH>
                <wp14:sizeRelV relativeFrom="page">
                  <wp14:pctHeight>0</wp14:pctHeight>
                </wp14:sizeRelV>
              </wp:anchor>
            </w:drawing>
          </w:r>
        </w:p>
      </w:tc>
      <w:tc>
        <w:tcPr>
          <w:tcW w:w="4000" w:type="pct"/>
          <w:tcBorders>
            <w:top w:val="single" w:sz="4" w:space="0" w:color="auto"/>
            <w:bottom w:val="single" w:sz="4" w:space="0" w:color="auto"/>
          </w:tcBorders>
          <w:vAlign w:val="center"/>
        </w:tcPr>
        <w:p w14:paraId="753CE57F" w14:textId="6A0A1ACA" w:rsidR="002D055E" w:rsidRPr="00226413" w:rsidRDefault="002D055E" w:rsidP="00230A56">
          <w:pPr>
            <w:spacing w:before="80" w:after="80"/>
            <w:jc w:val="center"/>
            <w:rPr>
              <w:rFonts w:ascii="Arial" w:hAnsi="Arial" w:cs="Arial"/>
              <w:noProof/>
              <w:sz w:val="32"/>
              <w:szCs w:val="32"/>
              <w:lang w:eastAsia="en-NZ"/>
            </w:rPr>
          </w:pPr>
          <w:r w:rsidRPr="00226413">
            <w:rPr>
              <w:rFonts w:ascii="Arial" w:hAnsi="Arial" w:cs="Arial"/>
              <w:b/>
              <w:sz w:val="32"/>
              <w:szCs w:val="32"/>
            </w:rPr>
            <w:t>Standing order Protocol for the use of Methoxyflurane</w:t>
          </w:r>
        </w:p>
      </w:tc>
    </w:tr>
  </w:tbl>
  <w:p w14:paraId="121E63C1" w14:textId="793C1055" w:rsidR="002D055E" w:rsidRPr="00226413" w:rsidRDefault="002D055E">
    <w:pPr>
      <w:pStyle w:val="Head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5C42"/>
    <w:multiLevelType w:val="hybridMultilevel"/>
    <w:tmpl w:val="3FD8A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753838"/>
    <w:multiLevelType w:val="hybridMultilevel"/>
    <w:tmpl w:val="0EEE074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49E0D80"/>
    <w:multiLevelType w:val="hybridMultilevel"/>
    <w:tmpl w:val="D124F6D2"/>
    <w:lvl w:ilvl="0" w:tplc="8B247774">
      <w:start w:val="1"/>
      <w:numFmt w:val="decimal"/>
      <w:lvlText w:val="%1"/>
      <w:lvlJc w:val="left"/>
      <w:pPr>
        <w:ind w:left="1080" w:hanging="360"/>
      </w:pPr>
      <w:rPr>
        <w:rFonts w:hint="default"/>
        <w:sz w:val="16"/>
        <w:szCs w:val="16"/>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9E31F71"/>
    <w:multiLevelType w:val="hybridMultilevel"/>
    <w:tmpl w:val="1DE8CFEE"/>
    <w:lvl w:ilvl="0" w:tplc="817285A2">
      <w:start w:val="1"/>
      <w:numFmt w:val="decimal"/>
      <w:lvlText w:val="%1."/>
      <w:lvlJc w:val="left"/>
      <w:pPr>
        <w:tabs>
          <w:tab w:val="num" w:pos="720"/>
        </w:tabs>
        <w:ind w:left="72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2F2700"/>
    <w:multiLevelType w:val="hybridMultilevel"/>
    <w:tmpl w:val="A860E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9410A8A"/>
    <w:multiLevelType w:val="hybridMultilevel"/>
    <w:tmpl w:val="1098D8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7C4C53F6"/>
    <w:multiLevelType w:val="hybridMultilevel"/>
    <w:tmpl w:val="888498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jY2MTAzMzcyMLRU0lEKTi0uzszPAykwqgUAlPNWlywAAAA="/>
  </w:docVars>
  <w:rsids>
    <w:rsidRoot w:val="00AF4772"/>
    <w:rsid w:val="000A5DB2"/>
    <w:rsid w:val="000D44DF"/>
    <w:rsid w:val="000F25B6"/>
    <w:rsid w:val="00111D89"/>
    <w:rsid w:val="00120AAF"/>
    <w:rsid w:val="001458DE"/>
    <w:rsid w:val="00192935"/>
    <w:rsid w:val="002170D8"/>
    <w:rsid w:val="00226413"/>
    <w:rsid w:val="00230A56"/>
    <w:rsid w:val="00291732"/>
    <w:rsid w:val="002D055E"/>
    <w:rsid w:val="003106CA"/>
    <w:rsid w:val="003F4CB4"/>
    <w:rsid w:val="004528A9"/>
    <w:rsid w:val="004C3845"/>
    <w:rsid w:val="004E10B0"/>
    <w:rsid w:val="00562F45"/>
    <w:rsid w:val="005A352B"/>
    <w:rsid w:val="005B47CB"/>
    <w:rsid w:val="00736ACF"/>
    <w:rsid w:val="00745CA6"/>
    <w:rsid w:val="00762F7B"/>
    <w:rsid w:val="00784F53"/>
    <w:rsid w:val="007A3514"/>
    <w:rsid w:val="007E637F"/>
    <w:rsid w:val="00860B85"/>
    <w:rsid w:val="008C5FBC"/>
    <w:rsid w:val="009543BA"/>
    <w:rsid w:val="00956F16"/>
    <w:rsid w:val="00A22A2E"/>
    <w:rsid w:val="00AB094F"/>
    <w:rsid w:val="00AE1D56"/>
    <w:rsid w:val="00AF4772"/>
    <w:rsid w:val="00B74F5B"/>
    <w:rsid w:val="00B85770"/>
    <w:rsid w:val="00B9519F"/>
    <w:rsid w:val="00BB26A7"/>
    <w:rsid w:val="00BE4592"/>
    <w:rsid w:val="00BF5126"/>
    <w:rsid w:val="00C248DD"/>
    <w:rsid w:val="00C56608"/>
    <w:rsid w:val="00C93A8D"/>
    <w:rsid w:val="00D32AB2"/>
    <w:rsid w:val="00D3713A"/>
    <w:rsid w:val="00DB17D7"/>
    <w:rsid w:val="00DB5DC9"/>
    <w:rsid w:val="00DB5DDA"/>
    <w:rsid w:val="00E9376B"/>
    <w:rsid w:val="00F416DB"/>
    <w:rsid w:val="00F529AC"/>
    <w:rsid w:val="00FA34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1E130"/>
  <w15:docId w15:val="{F78A3421-75E9-402F-AC99-814DDB43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772"/>
    <w:pPr>
      <w:spacing w:after="0" w:line="264" w:lineRule="auto"/>
    </w:pPr>
    <w:rPr>
      <w:rFonts w:ascii="Georgia" w:eastAsia="Times New Roman" w:hAnsi="Georgia" w:cs="Times New Roman"/>
      <w:szCs w:val="20"/>
      <w:lang w:eastAsia="en-GB"/>
    </w:rPr>
  </w:style>
  <w:style w:type="paragraph" w:styleId="Heading1">
    <w:name w:val="heading 1"/>
    <w:basedOn w:val="Normal"/>
    <w:next w:val="Normal"/>
    <w:link w:val="Heading1Char"/>
    <w:qFormat/>
    <w:rsid w:val="00AF4772"/>
    <w:pPr>
      <w:pBdr>
        <w:top w:val="single" w:sz="48" w:space="24" w:color="auto"/>
      </w:pBdr>
      <w:spacing w:after="240"/>
      <w:ind w:left="851" w:hanging="851"/>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772"/>
    <w:rPr>
      <w:rFonts w:ascii="Georgia" w:eastAsia="Times New Roman" w:hAnsi="Georgia" w:cs="Times New Roman"/>
      <w:b/>
      <w:sz w:val="52"/>
      <w:szCs w:val="20"/>
      <w:lang w:eastAsia="en-GB"/>
    </w:rPr>
  </w:style>
  <w:style w:type="paragraph" w:customStyle="1" w:styleId="TableText">
    <w:name w:val="TableText"/>
    <w:basedOn w:val="Normal"/>
    <w:rsid w:val="00AF4772"/>
    <w:pPr>
      <w:spacing w:before="80" w:after="80"/>
    </w:pPr>
    <w:rPr>
      <w:rFonts w:ascii="Arial" w:hAnsi="Arial"/>
      <w:sz w:val="20"/>
    </w:rPr>
  </w:style>
  <w:style w:type="paragraph" w:customStyle="1" w:styleId="Note">
    <w:name w:val="Note"/>
    <w:basedOn w:val="Normal"/>
    <w:next w:val="Normal"/>
    <w:rsid w:val="00AF4772"/>
    <w:pPr>
      <w:pBdr>
        <w:bottom w:val="single" w:sz="18" w:space="6" w:color="808080"/>
      </w:pBdr>
      <w:spacing w:before="80"/>
    </w:pPr>
    <w:rPr>
      <w:rFonts w:ascii="Arial" w:hAnsi="Arial"/>
      <w:sz w:val="18"/>
    </w:rPr>
  </w:style>
  <w:style w:type="paragraph" w:styleId="Header">
    <w:name w:val="header"/>
    <w:basedOn w:val="Normal"/>
    <w:link w:val="HeaderChar"/>
    <w:uiPriority w:val="99"/>
    <w:unhideWhenUsed/>
    <w:rsid w:val="00AF4772"/>
    <w:pPr>
      <w:tabs>
        <w:tab w:val="center" w:pos="4513"/>
        <w:tab w:val="right" w:pos="9026"/>
      </w:tabs>
      <w:spacing w:line="240" w:lineRule="auto"/>
    </w:pPr>
  </w:style>
  <w:style w:type="character" w:customStyle="1" w:styleId="HeaderChar">
    <w:name w:val="Header Char"/>
    <w:basedOn w:val="DefaultParagraphFont"/>
    <w:link w:val="Header"/>
    <w:uiPriority w:val="99"/>
    <w:rsid w:val="00AF4772"/>
    <w:rPr>
      <w:rFonts w:ascii="Georgia" w:eastAsia="Times New Roman" w:hAnsi="Georgia" w:cs="Times New Roman"/>
      <w:szCs w:val="20"/>
      <w:lang w:eastAsia="en-GB"/>
    </w:rPr>
  </w:style>
  <w:style w:type="paragraph" w:styleId="Footer">
    <w:name w:val="footer"/>
    <w:basedOn w:val="Normal"/>
    <w:link w:val="FooterChar"/>
    <w:uiPriority w:val="99"/>
    <w:unhideWhenUsed/>
    <w:rsid w:val="00AF4772"/>
    <w:pPr>
      <w:tabs>
        <w:tab w:val="center" w:pos="4513"/>
        <w:tab w:val="right" w:pos="9026"/>
      </w:tabs>
      <w:spacing w:line="240" w:lineRule="auto"/>
    </w:pPr>
  </w:style>
  <w:style w:type="character" w:customStyle="1" w:styleId="FooterChar">
    <w:name w:val="Footer Char"/>
    <w:basedOn w:val="DefaultParagraphFont"/>
    <w:link w:val="Footer"/>
    <w:uiPriority w:val="99"/>
    <w:rsid w:val="00AF4772"/>
    <w:rPr>
      <w:rFonts w:ascii="Georgia" w:eastAsia="Times New Roman" w:hAnsi="Georgia" w:cs="Times New Roman"/>
      <w:szCs w:val="20"/>
      <w:lang w:eastAsia="en-GB"/>
    </w:rPr>
  </w:style>
  <w:style w:type="paragraph" w:styleId="BalloonText">
    <w:name w:val="Balloon Text"/>
    <w:basedOn w:val="Normal"/>
    <w:link w:val="BalloonTextChar"/>
    <w:uiPriority w:val="99"/>
    <w:semiHidden/>
    <w:unhideWhenUsed/>
    <w:rsid w:val="00AF47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72"/>
    <w:rPr>
      <w:rFonts w:ascii="Tahoma" w:eastAsia="Times New Roman" w:hAnsi="Tahoma" w:cs="Tahoma"/>
      <w:sz w:val="16"/>
      <w:szCs w:val="16"/>
      <w:lang w:eastAsia="en-GB"/>
    </w:rPr>
  </w:style>
  <w:style w:type="character" w:styleId="PageNumber">
    <w:name w:val="page number"/>
    <w:basedOn w:val="DefaultParagraphFont"/>
    <w:semiHidden/>
    <w:rsid w:val="00AF4772"/>
  </w:style>
  <w:style w:type="character" w:styleId="Hyperlink">
    <w:name w:val="Hyperlink"/>
    <w:rsid w:val="00AF4772"/>
    <w:rPr>
      <w:color w:val="0000FF"/>
      <w:u w:val="single"/>
    </w:rPr>
  </w:style>
  <w:style w:type="character" w:styleId="CommentReference">
    <w:name w:val="annotation reference"/>
    <w:basedOn w:val="DefaultParagraphFont"/>
    <w:uiPriority w:val="99"/>
    <w:semiHidden/>
    <w:unhideWhenUsed/>
    <w:rsid w:val="00DB5DDA"/>
    <w:rPr>
      <w:sz w:val="16"/>
      <w:szCs w:val="16"/>
    </w:rPr>
  </w:style>
  <w:style w:type="paragraph" w:styleId="CommentText">
    <w:name w:val="annotation text"/>
    <w:basedOn w:val="Normal"/>
    <w:link w:val="CommentTextChar"/>
    <w:uiPriority w:val="99"/>
    <w:semiHidden/>
    <w:unhideWhenUsed/>
    <w:rsid w:val="00DB5DDA"/>
    <w:pPr>
      <w:spacing w:line="240" w:lineRule="auto"/>
    </w:pPr>
    <w:rPr>
      <w:sz w:val="20"/>
    </w:rPr>
  </w:style>
  <w:style w:type="character" w:customStyle="1" w:styleId="CommentTextChar">
    <w:name w:val="Comment Text Char"/>
    <w:basedOn w:val="DefaultParagraphFont"/>
    <w:link w:val="CommentText"/>
    <w:uiPriority w:val="99"/>
    <w:semiHidden/>
    <w:rsid w:val="00DB5DDA"/>
    <w:rPr>
      <w:rFonts w:ascii="Georgia" w:eastAsia="Times New Roman" w:hAnsi="Georg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B5DDA"/>
    <w:rPr>
      <w:b/>
      <w:bCs/>
    </w:rPr>
  </w:style>
  <w:style w:type="character" w:customStyle="1" w:styleId="CommentSubjectChar">
    <w:name w:val="Comment Subject Char"/>
    <w:basedOn w:val="CommentTextChar"/>
    <w:link w:val="CommentSubject"/>
    <w:uiPriority w:val="99"/>
    <w:semiHidden/>
    <w:rsid w:val="00DB5DDA"/>
    <w:rPr>
      <w:rFonts w:ascii="Georgia" w:eastAsia="Times New Roman" w:hAnsi="Georgia" w:cs="Times New Roman"/>
      <w:b/>
      <w:bCs/>
      <w:sz w:val="20"/>
      <w:szCs w:val="20"/>
      <w:lang w:eastAsia="en-GB"/>
    </w:rPr>
  </w:style>
  <w:style w:type="table" w:styleId="TableGrid">
    <w:name w:val="Table Grid"/>
    <w:basedOn w:val="TableNormal"/>
    <w:rsid w:val="00DB5DD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y.payinda@surflifesaving.org.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C36A7FC7D13429140844FBEFA68B9" ma:contentTypeVersion="9" ma:contentTypeDescription="Create a new document." ma:contentTypeScope="" ma:versionID="8126b3508a07a64d4484d79e259e5345">
  <xsd:schema xmlns:xsd="http://www.w3.org/2001/XMLSchema" xmlns:xs="http://www.w3.org/2001/XMLSchema" xmlns:p="http://schemas.microsoft.com/office/2006/metadata/properties" xmlns:ns3="cfc284ec-d614-465c-a1b2-2d70e80c1ef6" xmlns:ns4="7b9ea08d-edae-44bd-a463-8203c7a216bd" targetNamespace="http://schemas.microsoft.com/office/2006/metadata/properties" ma:root="true" ma:fieldsID="0884a43e2275f0806d55f3b98b14343b" ns3:_="" ns4:_="">
    <xsd:import namespace="cfc284ec-d614-465c-a1b2-2d70e80c1ef6"/>
    <xsd:import namespace="7b9ea08d-edae-44bd-a463-8203c7a216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84ec-d614-465c-a1b2-2d70e80c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ea08d-edae-44bd-a463-8203c7a216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01435-FB4B-4E47-A051-C4DDE50E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84ec-d614-465c-a1b2-2d70e80c1ef6"/>
    <ds:schemaRef ds:uri="7b9ea08d-edae-44bd-a463-8203c7a21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3D4F9-0AB1-4FF2-AE37-024A235A0CFC}">
  <ds:schemaRefs>
    <ds:schemaRef ds:uri="http://schemas.microsoft.com/sharepoint/v3/contenttype/forms"/>
  </ds:schemaRefs>
</ds:datastoreItem>
</file>

<file path=customXml/itemProps3.xml><?xml version="1.0" encoding="utf-8"?>
<ds:datastoreItem xmlns:ds="http://schemas.openxmlformats.org/officeDocument/2006/customXml" ds:itemID="{AC7F611C-DF5D-49DD-8A6F-1EF9C60C7E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6B77A6-3F86-4242-8322-CB4C3A62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Kent</dc:creator>
  <cp:lastModifiedBy>Sam Blackmore</cp:lastModifiedBy>
  <cp:revision>10</cp:revision>
  <cp:lastPrinted>2023-03-07T22:20:00Z</cp:lastPrinted>
  <dcterms:created xsi:type="dcterms:W3CDTF">2023-03-14T20:19:00Z</dcterms:created>
  <dcterms:modified xsi:type="dcterms:W3CDTF">2023-05-02T20:23:00Z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560df167b8fabe977f0d723a301f3ea7966e26d887bd2630c49a9535db7f3349</vt:lpwstr>
  </property>
  <property fmtid="{D5CDD505-2E9C-101B-9397-08002B2CF9AE}" pid="3" name="ContentTypeId">
    <vt:lpwstr>0x0101009D8C36A7FC7D13429140844FBEFA68B9</vt:lpwstr>
  </property>
</Properties>
</file>